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F373B4">
      <w:pPr>
        <w:ind w:firstLine="0" w:firstLineChars="0"/>
        <w:rPr>
          <w:rFonts w:hint="eastAsia" w:ascii="黑体" w:hAnsi="黑体" w:eastAsia="黑体" w:cs="黑体"/>
          <w:sz w:val="36"/>
          <w:szCs w:val="24"/>
          <w:lang w:val="en-US" w:eastAsia="zh-CN"/>
        </w:rPr>
      </w:pPr>
      <w:r>
        <w:rPr>
          <w:rFonts w:hint="eastAsia" w:ascii="黑体" w:hAnsi="黑体" w:eastAsia="黑体" w:cs="黑体"/>
          <w:sz w:val="36"/>
          <w:szCs w:val="24"/>
          <w:lang w:val="en-US" w:eastAsia="zh-CN"/>
        </w:rPr>
        <w:t>附件1：</w:t>
      </w:r>
    </w:p>
    <w:p w14:paraId="64AA8FD0">
      <w:pPr>
        <w:ind w:firstLine="0" w:firstLineChars="0"/>
      </w:pPr>
    </w:p>
    <w:p w14:paraId="7E5C0D14">
      <w:pPr>
        <w:ind w:firstLine="0" w:firstLineChars="0"/>
      </w:pPr>
    </w:p>
    <w:p w14:paraId="2C6EB566">
      <w:pPr>
        <w:ind w:firstLine="0" w:firstLineChars="0"/>
      </w:pPr>
    </w:p>
    <w:p w14:paraId="2E31CAB8">
      <w:pPr>
        <w:pStyle w:val="23"/>
        <w:ind w:firstLine="0" w:firstLineChars="0"/>
      </w:pPr>
    </w:p>
    <w:p w14:paraId="473AC551">
      <w:pPr>
        <w:pStyle w:val="23"/>
        <w:ind w:firstLine="0" w:firstLineChars="0"/>
      </w:pPr>
    </w:p>
    <w:p w14:paraId="032D2944">
      <w:pPr>
        <w:spacing w:line="480" w:lineRule="auto"/>
        <w:ind w:firstLine="0" w:firstLineChars="0"/>
        <w:jc w:val="center"/>
        <w:rPr>
          <w:rFonts w:ascii="黑体" w:hAnsi="黑体" w:eastAsia="黑体" w:cs="黑体"/>
          <w:sz w:val="44"/>
          <w:szCs w:val="32"/>
        </w:rPr>
      </w:pPr>
      <w:r>
        <w:rPr>
          <w:rFonts w:hint="eastAsia" w:ascii="黑体" w:hAnsi="黑体" w:eastAsia="黑体" w:cs="黑体"/>
          <w:sz w:val="44"/>
          <w:szCs w:val="32"/>
        </w:rPr>
        <w:t>达州市人民检察院检察工作网边界安全接入平台需求说明书</w:t>
      </w:r>
    </w:p>
    <w:p w14:paraId="1DC5D3AD">
      <w:pPr>
        <w:ind w:firstLine="0" w:firstLineChars="0"/>
      </w:pPr>
    </w:p>
    <w:p w14:paraId="49564B85">
      <w:pPr>
        <w:pStyle w:val="23"/>
        <w:ind w:firstLine="0" w:firstLineChars="0"/>
      </w:pPr>
    </w:p>
    <w:p w14:paraId="0E9C0596">
      <w:pPr>
        <w:pStyle w:val="23"/>
        <w:ind w:firstLine="0" w:firstLineChars="0"/>
      </w:pPr>
    </w:p>
    <w:p w14:paraId="128EFDEC">
      <w:pPr>
        <w:pStyle w:val="23"/>
        <w:ind w:firstLine="0" w:firstLineChars="0"/>
      </w:pPr>
    </w:p>
    <w:p w14:paraId="12B00394">
      <w:pPr>
        <w:pStyle w:val="23"/>
        <w:ind w:firstLine="0" w:firstLineChars="0"/>
      </w:pPr>
    </w:p>
    <w:p w14:paraId="05860B21">
      <w:pPr>
        <w:pStyle w:val="23"/>
        <w:ind w:firstLine="0" w:firstLineChars="0"/>
      </w:pPr>
    </w:p>
    <w:p w14:paraId="0265939C">
      <w:pPr>
        <w:pStyle w:val="23"/>
        <w:ind w:firstLine="0" w:firstLineChars="0"/>
      </w:pPr>
    </w:p>
    <w:p w14:paraId="0DDC7801">
      <w:pPr>
        <w:pStyle w:val="23"/>
        <w:ind w:firstLine="0" w:firstLineChars="0"/>
      </w:pPr>
    </w:p>
    <w:p w14:paraId="5DF477E9">
      <w:pPr>
        <w:pStyle w:val="23"/>
        <w:ind w:firstLine="0" w:firstLineChars="0"/>
      </w:pPr>
    </w:p>
    <w:p w14:paraId="43BDDD05">
      <w:pPr>
        <w:sectPr>
          <w:pgSz w:w="11906" w:h="16838"/>
          <w:pgMar w:top="1440" w:right="1800" w:bottom="1440" w:left="1800" w:header="851" w:footer="992" w:gutter="0"/>
          <w:cols w:space="425" w:num="1"/>
          <w:docGrid w:type="lines" w:linePitch="312" w:charSpace="0"/>
        </w:sectPr>
      </w:pPr>
      <w:r>
        <w:tab/>
      </w:r>
    </w:p>
    <w:p w14:paraId="0A7B135E">
      <w:pPr>
        <w:ind w:firstLine="883"/>
        <w:jc w:val="center"/>
        <w:rPr>
          <w:rFonts w:ascii="黑体" w:hAnsi="黑体" w:eastAsia="黑体" w:cs="黑体"/>
          <w:b/>
          <w:bCs/>
          <w:sz w:val="44"/>
          <w:szCs w:val="32"/>
        </w:rPr>
      </w:pPr>
      <w:r>
        <w:rPr>
          <w:rFonts w:hint="eastAsia" w:ascii="黑体" w:hAnsi="黑体" w:eastAsia="黑体" w:cs="黑体"/>
          <w:b/>
          <w:bCs/>
          <w:sz w:val="44"/>
          <w:szCs w:val="32"/>
        </w:rPr>
        <w:t>目   录</w:t>
      </w:r>
    </w:p>
    <w:p w14:paraId="2EA2AEC1"/>
    <w:p w14:paraId="32B9D461">
      <w:pPr>
        <w:pStyle w:val="20"/>
        <w:tabs>
          <w:tab w:val="right" w:leader="dot" w:pos="8306"/>
          <w:tab w:val="clear" w:pos="8296"/>
        </w:tabs>
      </w:pPr>
      <w:r>
        <w:rPr>
          <w:rFonts w:ascii="宋体" w:hAnsi="宋体"/>
          <w:sz w:val="32"/>
          <w:szCs w:val="20"/>
        </w:rPr>
        <w:fldChar w:fldCharType="begin"/>
      </w:r>
      <w:r>
        <w:rPr>
          <w:rFonts w:ascii="宋体" w:hAnsi="宋体"/>
          <w:sz w:val="32"/>
        </w:rPr>
        <w:instrText xml:space="preserve"> TOC \o "1-3" \h \z \u </w:instrText>
      </w:r>
      <w:r>
        <w:rPr>
          <w:rFonts w:ascii="宋体" w:hAnsi="宋体"/>
          <w:sz w:val="32"/>
          <w:szCs w:val="20"/>
        </w:rPr>
        <w:fldChar w:fldCharType="separate"/>
      </w:r>
      <w:r>
        <w:rPr>
          <w:rFonts w:ascii="宋体" w:hAnsi="宋体"/>
          <w:szCs w:val="20"/>
        </w:rPr>
        <w:fldChar w:fldCharType="begin"/>
      </w:r>
      <w:r>
        <w:rPr>
          <w:rFonts w:ascii="宋体" w:hAnsi="宋体"/>
          <w:szCs w:val="20"/>
        </w:rPr>
        <w:instrText xml:space="preserve"> HYPERLINK \l _Toc4803 </w:instrText>
      </w:r>
      <w:r>
        <w:rPr>
          <w:rFonts w:ascii="宋体" w:hAnsi="宋体"/>
          <w:szCs w:val="20"/>
        </w:rPr>
        <w:fldChar w:fldCharType="separate"/>
      </w:r>
      <w:r>
        <w:rPr>
          <w:rFonts w:hint="default" w:ascii="Times New Roman" w:hAnsi="Times New Roman" w:eastAsia="黑体"/>
          <w:i w:val="0"/>
        </w:rPr>
        <w:t xml:space="preserve">第一章 </w:t>
      </w:r>
      <w:r>
        <w:rPr>
          <w:rFonts w:hint="eastAsia"/>
        </w:rPr>
        <w:t>项目概述</w:t>
      </w:r>
      <w:r>
        <w:tab/>
      </w:r>
      <w:r>
        <w:fldChar w:fldCharType="begin"/>
      </w:r>
      <w:r>
        <w:instrText xml:space="preserve"> PAGEREF _Toc4803 \h </w:instrText>
      </w:r>
      <w:r>
        <w:fldChar w:fldCharType="separate"/>
      </w:r>
      <w:r>
        <w:t>4</w:t>
      </w:r>
      <w:r>
        <w:fldChar w:fldCharType="end"/>
      </w:r>
      <w:r>
        <w:rPr>
          <w:rFonts w:ascii="宋体" w:hAnsi="宋体"/>
          <w:szCs w:val="20"/>
        </w:rPr>
        <w:fldChar w:fldCharType="end"/>
      </w:r>
    </w:p>
    <w:p w14:paraId="4F68C23D">
      <w:pPr>
        <w:pStyle w:val="22"/>
        <w:tabs>
          <w:tab w:val="right" w:leader="dot" w:pos="8306"/>
        </w:tabs>
      </w:pPr>
      <w:r>
        <w:fldChar w:fldCharType="begin"/>
      </w:r>
      <w:r>
        <w:instrText xml:space="preserve"> HYPERLINK \l _Toc18325 </w:instrText>
      </w:r>
      <w:r>
        <w:fldChar w:fldCharType="separate"/>
      </w:r>
      <w:r>
        <w:rPr>
          <w:rFonts w:hint="default" w:ascii="Times New Roman" w:hAnsi="Times New Roman" w:eastAsia="黑体"/>
          <w:i w:val="0"/>
        </w:rPr>
        <w:t xml:space="preserve">1.1 </w:t>
      </w:r>
      <w:r>
        <w:rPr>
          <w:rFonts w:hint="eastAsia"/>
        </w:rPr>
        <w:t>建设背景</w:t>
      </w:r>
      <w:r>
        <w:tab/>
      </w:r>
      <w:r>
        <w:fldChar w:fldCharType="begin"/>
      </w:r>
      <w:r>
        <w:instrText xml:space="preserve"> PAGEREF _Toc18325 \h </w:instrText>
      </w:r>
      <w:r>
        <w:fldChar w:fldCharType="separate"/>
      </w:r>
      <w:r>
        <w:t>4</w:t>
      </w:r>
      <w:r>
        <w:fldChar w:fldCharType="end"/>
      </w:r>
      <w:r>
        <w:fldChar w:fldCharType="end"/>
      </w:r>
    </w:p>
    <w:p w14:paraId="51A7A392">
      <w:pPr>
        <w:pStyle w:val="22"/>
        <w:tabs>
          <w:tab w:val="right" w:leader="dot" w:pos="8306"/>
        </w:tabs>
      </w:pPr>
      <w:r>
        <w:fldChar w:fldCharType="begin"/>
      </w:r>
      <w:r>
        <w:instrText xml:space="preserve"> HYPERLINK \l _Toc23137 </w:instrText>
      </w:r>
      <w:r>
        <w:fldChar w:fldCharType="separate"/>
      </w:r>
      <w:r>
        <w:rPr>
          <w:rFonts w:hint="default" w:ascii="Times New Roman" w:hAnsi="Times New Roman" w:eastAsia="黑体"/>
          <w:i w:val="0"/>
        </w:rPr>
        <w:t xml:space="preserve">1.2 </w:t>
      </w:r>
      <w:r>
        <w:rPr>
          <w:rFonts w:hint="eastAsia"/>
        </w:rPr>
        <w:t>建设目标</w:t>
      </w:r>
      <w:r>
        <w:tab/>
      </w:r>
      <w:r>
        <w:fldChar w:fldCharType="begin"/>
      </w:r>
      <w:r>
        <w:instrText xml:space="preserve"> PAGEREF _Toc23137 \h </w:instrText>
      </w:r>
      <w:r>
        <w:fldChar w:fldCharType="separate"/>
      </w:r>
      <w:r>
        <w:t>5</w:t>
      </w:r>
      <w:r>
        <w:fldChar w:fldCharType="end"/>
      </w:r>
      <w:r>
        <w:fldChar w:fldCharType="end"/>
      </w:r>
    </w:p>
    <w:p w14:paraId="1C454D78">
      <w:pPr>
        <w:pStyle w:val="22"/>
        <w:tabs>
          <w:tab w:val="right" w:leader="dot" w:pos="8306"/>
        </w:tabs>
      </w:pPr>
      <w:r>
        <w:fldChar w:fldCharType="begin"/>
      </w:r>
      <w:r>
        <w:instrText xml:space="preserve"> HYPERLINK \l _Toc29093 </w:instrText>
      </w:r>
      <w:r>
        <w:fldChar w:fldCharType="separate"/>
      </w:r>
      <w:r>
        <w:rPr>
          <w:rFonts w:hint="default" w:ascii="Times New Roman" w:hAnsi="Times New Roman" w:eastAsia="黑体"/>
          <w:i w:val="0"/>
        </w:rPr>
        <w:t xml:space="preserve">1.3 </w:t>
      </w:r>
      <w:r>
        <w:rPr>
          <w:rFonts w:hint="eastAsia"/>
        </w:rPr>
        <w:t>建设规模</w:t>
      </w:r>
      <w:r>
        <w:tab/>
      </w:r>
      <w:r>
        <w:fldChar w:fldCharType="begin"/>
      </w:r>
      <w:r>
        <w:instrText xml:space="preserve"> PAGEREF _Toc29093 \h </w:instrText>
      </w:r>
      <w:r>
        <w:fldChar w:fldCharType="separate"/>
      </w:r>
      <w:r>
        <w:t>6</w:t>
      </w:r>
      <w:r>
        <w:fldChar w:fldCharType="end"/>
      </w:r>
      <w:r>
        <w:fldChar w:fldCharType="end"/>
      </w:r>
    </w:p>
    <w:p w14:paraId="4DF73BE1">
      <w:pPr>
        <w:pStyle w:val="22"/>
        <w:tabs>
          <w:tab w:val="right" w:leader="dot" w:pos="8306"/>
        </w:tabs>
      </w:pPr>
      <w:r>
        <w:fldChar w:fldCharType="begin"/>
      </w:r>
      <w:r>
        <w:instrText xml:space="preserve"> HYPERLINK \l _Toc21133 </w:instrText>
      </w:r>
      <w:r>
        <w:fldChar w:fldCharType="separate"/>
      </w:r>
      <w:r>
        <w:rPr>
          <w:rFonts w:hint="default" w:ascii="Times New Roman" w:hAnsi="Times New Roman" w:eastAsia="黑体"/>
          <w:i w:val="0"/>
        </w:rPr>
        <w:t xml:space="preserve">1.4 </w:t>
      </w:r>
      <w:r>
        <w:rPr>
          <w:rFonts w:hint="eastAsia"/>
        </w:rPr>
        <w:t>建设内容</w:t>
      </w:r>
      <w:r>
        <w:tab/>
      </w:r>
      <w:r>
        <w:fldChar w:fldCharType="begin"/>
      </w:r>
      <w:r>
        <w:instrText xml:space="preserve"> PAGEREF _Toc21133 \h </w:instrText>
      </w:r>
      <w:r>
        <w:fldChar w:fldCharType="separate"/>
      </w:r>
      <w:r>
        <w:t>6</w:t>
      </w:r>
      <w:r>
        <w:fldChar w:fldCharType="end"/>
      </w:r>
      <w:r>
        <w:fldChar w:fldCharType="end"/>
      </w:r>
    </w:p>
    <w:p w14:paraId="42FF0034">
      <w:pPr>
        <w:pStyle w:val="20"/>
        <w:tabs>
          <w:tab w:val="right" w:leader="dot" w:pos="8306"/>
          <w:tab w:val="clear" w:pos="8296"/>
        </w:tabs>
      </w:pPr>
      <w:r>
        <w:fldChar w:fldCharType="begin"/>
      </w:r>
      <w:r>
        <w:instrText xml:space="preserve"> HYPERLINK \l _Toc15020 </w:instrText>
      </w:r>
      <w:r>
        <w:fldChar w:fldCharType="separate"/>
      </w:r>
      <w:r>
        <w:rPr>
          <w:rFonts w:hint="default" w:ascii="Times New Roman" w:hAnsi="Times New Roman" w:eastAsia="黑体"/>
          <w:i w:val="0"/>
        </w:rPr>
        <w:t xml:space="preserve">第二章 </w:t>
      </w:r>
      <w:r>
        <w:t>需求分析</w:t>
      </w:r>
      <w:r>
        <w:tab/>
      </w:r>
      <w:r>
        <w:fldChar w:fldCharType="begin"/>
      </w:r>
      <w:r>
        <w:instrText xml:space="preserve"> PAGEREF _Toc15020 \h </w:instrText>
      </w:r>
      <w:r>
        <w:fldChar w:fldCharType="separate"/>
      </w:r>
      <w:r>
        <w:t>7</w:t>
      </w:r>
      <w:r>
        <w:fldChar w:fldCharType="end"/>
      </w:r>
      <w:r>
        <w:fldChar w:fldCharType="end"/>
      </w:r>
    </w:p>
    <w:p w14:paraId="4BC6043E">
      <w:pPr>
        <w:pStyle w:val="22"/>
        <w:tabs>
          <w:tab w:val="right" w:leader="dot" w:pos="8306"/>
        </w:tabs>
      </w:pPr>
      <w:r>
        <w:fldChar w:fldCharType="begin"/>
      </w:r>
      <w:r>
        <w:instrText xml:space="preserve"> HYPERLINK \l _Toc9465 </w:instrText>
      </w:r>
      <w:r>
        <w:fldChar w:fldCharType="separate"/>
      </w:r>
      <w:r>
        <w:rPr>
          <w:rFonts w:hint="default" w:ascii="Times New Roman" w:hAnsi="Times New Roman" w:eastAsia="黑体"/>
          <w:i w:val="0"/>
        </w:rPr>
        <w:t xml:space="preserve">2.1 </w:t>
      </w:r>
      <w:r>
        <w:rPr>
          <w:rFonts w:hint="eastAsia"/>
        </w:rPr>
        <w:t>现状分析</w:t>
      </w:r>
      <w:r>
        <w:tab/>
      </w:r>
      <w:r>
        <w:fldChar w:fldCharType="begin"/>
      </w:r>
      <w:r>
        <w:instrText xml:space="preserve"> PAGEREF _Toc9465 \h </w:instrText>
      </w:r>
      <w:r>
        <w:fldChar w:fldCharType="separate"/>
      </w:r>
      <w:r>
        <w:t>7</w:t>
      </w:r>
      <w:r>
        <w:fldChar w:fldCharType="end"/>
      </w:r>
      <w:r>
        <w:fldChar w:fldCharType="end"/>
      </w:r>
    </w:p>
    <w:p w14:paraId="0A617D9B">
      <w:pPr>
        <w:pStyle w:val="17"/>
        <w:tabs>
          <w:tab w:val="right" w:leader="dot" w:pos="8306"/>
        </w:tabs>
      </w:pPr>
      <w:r>
        <w:fldChar w:fldCharType="begin"/>
      </w:r>
      <w:r>
        <w:instrText xml:space="preserve"> HYPERLINK \l _Toc29828 </w:instrText>
      </w:r>
      <w:r>
        <w:fldChar w:fldCharType="separate"/>
      </w:r>
      <w:r>
        <w:rPr>
          <w:rFonts w:hint="default" w:ascii="Times New Roman" w:hAnsi="Times New Roman" w:eastAsia="黑体"/>
          <w:i w:val="0"/>
          <w:szCs w:val="30"/>
        </w:rPr>
        <w:t xml:space="preserve">2.1.1 </w:t>
      </w:r>
      <w:r>
        <w:rPr>
          <w:rFonts w:hint="eastAsia"/>
        </w:rPr>
        <w:t>主机安全现状</w:t>
      </w:r>
      <w:r>
        <w:tab/>
      </w:r>
      <w:r>
        <w:fldChar w:fldCharType="begin"/>
      </w:r>
      <w:r>
        <w:instrText xml:space="preserve"> PAGEREF _Toc29828 \h </w:instrText>
      </w:r>
      <w:r>
        <w:fldChar w:fldCharType="separate"/>
      </w:r>
      <w:r>
        <w:t>7</w:t>
      </w:r>
      <w:r>
        <w:fldChar w:fldCharType="end"/>
      </w:r>
      <w:r>
        <w:fldChar w:fldCharType="end"/>
      </w:r>
    </w:p>
    <w:p w14:paraId="6CF9D289">
      <w:pPr>
        <w:pStyle w:val="17"/>
        <w:tabs>
          <w:tab w:val="right" w:leader="dot" w:pos="8306"/>
        </w:tabs>
      </w:pPr>
      <w:r>
        <w:fldChar w:fldCharType="begin"/>
      </w:r>
      <w:r>
        <w:instrText xml:space="preserve"> HYPERLINK \l _Toc14148 </w:instrText>
      </w:r>
      <w:r>
        <w:fldChar w:fldCharType="separate"/>
      </w:r>
      <w:r>
        <w:rPr>
          <w:rFonts w:hint="default" w:ascii="Times New Roman" w:hAnsi="Times New Roman" w:eastAsia="黑体"/>
          <w:i w:val="0"/>
          <w:szCs w:val="30"/>
        </w:rPr>
        <w:t xml:space="preserve">2.1.2 </w:t>
      </w:r>
      <w:r>
        <w:rPr>
          <w:rFonts w:hint="eastAsia"/>
        </w:rPr>
        <w:t>网络安全现状</w:t>
      </w:r>
      <w:r>
        <w:tab/>
      </w:r>
      <w:r>
        <w:fldChar w:fldCharType="begin"/>
      </w:r>
      <w:r>
        <w:instrText xml:space="preserve"> PAGEREF _Toc14148 \h </w:instrText>
      </w:r>
      <w:r>
        <w:fldChar w:fldCharType="separate"/>
      </w:r>
      <w:r>
        <w:t>7</w:t>
      </w:r>
      <w:r>
        <w:fldChar w:fldCharType="end"/>
      </w:r>
      <w:r>
        <w:fldChar w:fldCharType="end"/>
      </w:r>
    </w:p>
    <w:p w14:paraId="0AB2AF00">
      <w:pPr>
        <w:pStyle w:val="17"/>
        <w:tabs>
          <w:tab w:val="right" w:leader="dot" w:pos="8306"/>
        </w:tabs>
      </w:pPr>
      <w:r>
        <w:fldChar w:fldCharType="begin"/>
      </w:r>
      <w:r>
        <w:instrText xml:space="preserve"> HYPERLINK \l _Toc1229 </w:instrText>
      </w:r>
      <w:r>
        <w:fldChar w:fldCharType="separate"/>
      </w:r>
      <w:r>
        <w:rPr>
          <w:rFonts w:hint="default" w:ascii="Times New Roman" w:hAnsi="Times New Roman" w:eastAsia="黑体"/>
          <w:i w:val="0"/>
          <w:szCs w:val="30"/>
        </w:rPr>
        <w:t xml:space="preserve">2.1.3 </w:t>
      </w:r>
      <w:r>
        <w:rPr>
          <w:rFonts w:hint="eastAsia"/>
        </w:rPr>
        <w:t>应用安全现状</w:t>
      </w:r>
      <w:r>
        <w:tab/>
      </w:r>
      <w:r>
        <w:fldChar w:fldCharType="begin"/>
      </w:r>
      <w:r>
        <w:instrText xml:space="preserve"> PAGEREF _Toc1229 \h </w:instrText>
      </w:r>
      <w:r>
        <w:fldChar w:fldCharType="separate"/>
      </w:r>
      <w:r>
        <w:t>7</w:t>
      </w:r>
      <w:r>
        <w:fldChar w:fldCharType="end"/>
      </w:r>
      <w:r>
        <w:fldChar w:fldCharType="end"/>
      </w:r>
    </w:p>
    <w:p w14:paraId="6A205E81">
      <w:pPr>
        <w:pStyle w:val="22"/>
        <w:tabs>
          <w:tab w:val="right" w:leader="dot" w:pos="8306"/>
        </w:tabs>
      </w:pPr>
      <w:r>
        <w:fldChar w:fldCharType="begin"/>
      </w:r>
      <w:r>
        <w:instrText xml:space="preserve"> HYPERLINK \l _Toc7425 </w:instrText>
      </w:r>
      <w:r>
        <w:fldChar w:fldCharType="separate"/>
      </w:r>
      <w:r>
        <w:rPr>
          <w:rFonts w:hint="default" w:ascii="Times New Roman" w:hAnsi="Times New Roman" w:eastAsia="黑体"/>
          <w:i w:val="0"/>
        </w:rPr>
        <w:t xml:space="preserve">2.2 </w:t>
      </w:r>
      <w:r>
        <w:rPr>
          <w:rFonts w:hint="eastAsia"/>
        </w:rPr>
        <w:t>业务需求</w:t>
      </w:r>
      <w:r>
        <w:tab/>
      </w:r>
      <w:r>
        <w:fldChar w:fldCharType="begin"/>
      </w:r>
      <w:r>
        <w:instrText xml:space="preserve"> PAGEREF _Toc7425 \h </w:instrText>
      </w:r>
      <w:r>
        <w:fldChar w:fldCharType="separate"/>
      </w:r>
      <w:r>
        <w:t>8</w:t>
      </w:r>
      <w:r>
        <w:fldChar w:fldCharType="end"/>
      </w:r>
      <w:r>
        <w:fldChar w:fldCharType="end"/>
      </w:r>
    </w:p>
    <w:p w14:paraId="37646D12">
      <w:pPr>
        <w:pStyle w:val="17"/>
        <w:tabs>
          <w:tab w:val="right" w:leader="dot" w:pos="8306"/>
        </w:tabs>
      </w:pPr>
      <w:r>
        <w:fldChar w:fldCharType="begin"/>
      </w:r>
      <w:r>
        <w:instrText xml:space="preserve"> HYPERLINK \l _Toc19303 </w:instrText>
      </w:r>
      <w:r>
        <w:fldChar w:fldCharType="separate"/>
      </w:r>
      <w:r>
        <w:rPr>
          <w:rFonts w:hint="default" w:ascii="Times New Roman" w:hAnsi="Times New Roman" w:eastAsia="黑体"/>
          <w:i w:val="0"/>
          <w:szCs w:val="30"/>
        </w:rPr>
        <w:t xml:space="preserve">2.2.1 </w:t>
      </w:r>
      <w:r>
        <w:rPr>
          <w:rFonts w:hint="eastAsia"/>
        </w:rPr>
        <w:t>互联网接入需求</w:t>
      </w:r>
      <w:r>
        <w:tab/>
      </w:r>
      <w:r>
        <w:fldChar w:fldCharType="begin"/>
      </w:r>
      <w:r>
        <w:instrText xml:space="preserve"> PAGEREF _Toc19303 \h </w:instrText>
      </w:r>
      <w:r>
        <w:fldChar w:fldCharType="separate"/>
      </w:r>
      <w:r>
        <w:t>8</w:t>
      </w:r>
      <w:r>
        <w:fldChar w:fldCharType="end"/>
      </w:r>
      <w:r>
        <w:fldChar w:fldCharType="end"/>
      </w:r>
    </w:p>
    <w:p w14:paraId="5183514E">
      <w:pPr>
        <w:pStyle w:val="17"/>
        <w:tabs>
          <w:tab w:val="right" w:leader="dot" w:pos="8306"/>
        </w:tabs>
      </w:pPr>
      <w:r>
        <w:fldChar w:fldCharType="begin"/>
      </w:r>
      <w:r>
        <w:instrText xml:space="preserve"> HYPERLINK \l _Toc12001 </w:instrText>
      </w:r>
      <w:r>
        <w:fldChar w:fldCharType="separate"/>
      </w:r>
      <w:r>
        <w:rPr>
          <w:rFonts w:hint="default" w:ascii="Times New Roman" w:hAnsi="Times New Roman" w:eastAsia="黑体"/>
          <w:i w:val="0"/>
          <w:szCs w:val="30"/>
        </w:rPr>
        <w:t xml:space="preserve">2.2.2 </w:t>
      </w:r>
      <w:r>
        <w:rPr>
          <w:rFonts w:hint="eastAsia"/>
        </w:rPr>
        <w:t>外部专网接入需求</w:t>
      </w:r>
      <w:r>
        <w:tab/>
      </w:r>
      <w:r>
        <w:fldChar w:fldCharType="begin"/>
      </w:r>
      <w:r>
        <w:instrText xml:space="preserve"> PAGEREF _Toc12001 \h </w:instrText>
      </w:r>
      <w:r>
        <w:fldChar w:fldCharType="separate"/>
      </w:r>
      <w:r>
        <w:t>8</w:t>
      </w:r>
      <w:r>
        <w:fldChar w:fldCharType="end"/>
      </w:r>
      <w:r>
        <w:fldChar w:fldCharType="end"/>
      </w:r>
    </w:p>
    <w:p w14:paraId="2B2D9C10">
      <w:pPr>
        <w:pStyle w:val="22"/>
        <w:tabs>
          <w:tab w:val="right" w:leader="dot" w:pos="8306"/>
        </w:tabs>
      </w:pPr>
      <w:r>
        <w:fldChar w:fldCharType="begin"/>
      </w:r>
      <w:r>
        <w:instrText xml:space="preserve"> HYPERLINK \l _Toc32096 </w:instrText>
      </w:r>
      <w:r>
        <w:fldChar w:fldCharType="separate"/>
      </w:r>
      <w:r>
        <w:rPr>
          <w:rFonts w:hint="default" w:ascii="Times New Roman" w:hAnsi="Times New Roman" w:eastAsia="黑体"/>
          <w:i w:val="0"/>
        </w:rPr>
        <w:t xml:space="preserve">2.3 </w:t>
      </w:r>
      <w:r>
        <w:rPr>
          <w:rFonts w:hint="eastAsia"/>
        </w:rPr>
        <w:t>应用需求</w:t>
      </w:r>
      <w:r>
        <w:tab/>
      </w:r>
      <w:r>
        <w:fldChar w:fldCharType="begin"/>
      </w:r>
      <w:r>
        <w:instrText xml:space="preserve"> PAGEREF _Toc32096 \h </w:instrText>
      </w:r>
      <w:r>
        <w:fldChar w:fldCharType="separate"/>
      </w:r>
      <w:r>
        <w:t>8</w:t>
      </w:r>
      <w:r>
        <w:fldChar w:fldCharType="end"/>
      </w:r>
      <w:r>
        <w:fldChar w:fldCharType="end"/>
      </w:r>
    </w:p>
    <w:p w14:paraId="6CEC9B0A">
      <w:pPr>
        <w:pStyle w:val="17"/>
        <w:tabs>
          <w:tab w:val="right" w:leader="dot" w:pos="8306"/>
        </w:tabs>
      </w:pPr>
      <w:r>
        <w:fldChar w:fldCharType="begin"/>
      </w:r>
      <w:r>
        <w:instrText xml:space="preserve"> HYPERLINK \l _Toc6228 </w:instrText>
      </w:r>
      <w:r>
        <w:fldChar w:fldCharType="separate"/>
      </w:r>
      <w:r>
        <w:rPr>
          <w:rFonts w:hint="default" w:ascii="Times New Roman" w:hAnsi="Times New Roman" w:eastAsia="黑体"/>
          <w:i w:val="0"/>
          <w:szCs w:val="30"/>
        </w:rPr>
        <w:t xml:space="preserve">2.3.1 </w:t>
      </w:r>
      <w:r>
        <w:rPr>
          <w:rFonts w:hint="eastAsia"/>
        </w:rPr>
        <w:t>数据交换类</w:t>
      </w:r>
      <w:r>
        <w:tab/>
      </w:r>
      <w:r>
        <w:fldChar w:fldCharType="begin"/>
      </w:r>
      <w:r>
        <w:instrText xml:space="preserve"> PAGEREF _Toc6228 \h </w:instrText>
      </w:r>
      <w:r>
        <w:fldChar w:fldCharType="separate"/>
      </w:r>
      <w:r>
        <w:t>8</w:t>
      </w:r>
      <w:r>
        <w:fldChar w:fldCharType="end"/>
      </w:r>
      <w:r>
        <w:fldChar w:fldCharType="end"/>
      </w:r>
    </w:p>
    <w:p w14:paraId="2E77BF21">
      <w:pPr>
        <w:pStyle w:val="17"/>
        <w:tabs>
          <w:tab w:val="right" w:leader="dot" w:pos="8306"/>
        </w:tabs>
      </w:pPr>
      <w:r>
        <w:fldChar w:fldCharType="begin"/>
      </w:r>
      <w:r>
        <w:instrText xml:space="preserve"> HYPERLINK \l _Toc8342 </w:instrText>
      </w:r>
      <w:r>
        <w:fldChar w:fldCharType="separate"/>
      </w:r>
      <w:r>
        <w:rPr>
          <w:rFonts w:hint="default" w:ascii="Times New Roman" w:hAnsi="Times New Roman" w:eastAsia="黑体"/>
          <w:i w:val="0"/>
          <w:szCs w:val="30"/>
        </w:rPr>
        <w:t xml:space="preserve">2.3.2 </w:t>
      </w:r>
      <w:r>
        <w:rPr>
          <w:rFonts w:hint="eastAsia"/>
        </w:rPr>
        <w:t>请求服务类</w:t>
      </w:r>
      <w:r>
        <w:tab/>
      </w:r>
      <w:r>
        <w:fldChar w:fldCharType="begin"/>
      </w:r>
      <w:r>
        <w:instrText xml:space="preserve"> PAGEREF _Toc8342 \h </w:instrText>
      </w:r>
      <w:r>
        <w:fldChar w:fldCharType="separate"/>
      </w:r>
      <w:r>
        <w:t>9</w:t>
      </w:r>
      <w:r>
        <w:fldChar w:fldCharType="end"/>
      </w:r>
      <w:r>
        <w:fldChar w:fldCharType="end"/>
      </w:r>
    </w:p>
    <w:p w14:paraId="36F4AC88">
      <w:pPr>
        <w:pStyle w:val="17"/>
        <w:tabs>
          <w:tab w:val="right" w:leader="dot" w:pos="8306"/>
        </w:tabs>
      </w:pPr>
      <w:r>
        <w:fldChar w:fldCharType="begin"/>
      </w:r>
      <w:r>
        <w:instrText xml:space="preserve"> HYPERLINK \l _Toc30497 </w:instrText>
      </w:r>
      <w:r>
        <w:fldChar w:fldCharType="separate"/>
      </w:r>
      <w:r>
        <w:rPr>
          <w:rFonts w:hint="default" w:ascii="Times New Roman" w:hAnsi="Times New Roman" w:eastAsia="黑体"/>
          <w:i w:val="0"/>
          <w:szCs w:val="30"/>
        </w:rPr>
        <w:t xml:space="preserve">2.3.3 </w:t>
      </w:r>
      <w:r>
        <w:rPr>
          <w:rFonts w:hint="eastAsia"/>
        </w:rPr>
        <w:t>授权访问类</w:t>
      </w:r>
      <w:r>
        <w:tab/>
      </w:r>
      <w:r>
        <w:fldChar w:fldCharType="begin"/>
      </w:r>
      <w:r>
        <w:instrText xml:space="preserve"> PAGEREF _Toc30497 \h </w:instrText>
      </w:r>
      <w:r>
        <w:fldChar w:fldCharType="separate"/>
      </w:r>
      <w:r>
        <w:t>9</w:t>
      </w:r>
      <w:r>
        <w:fldChar w:fldCharType="end"/>
      </w:r>
      <w:r>
        <w:fldChar w:fldCharType="end"/>
      </w:r>
    </w:p>
    <w:p w14:paraId="1FEEBEBC">
      <w:pPr>
        <w:pStyle w:val="17"/>
        <w:tabs>
          <w:tab w:val="right" w:leader="dot" w:pos="8306"/>
        </w:tabs>
      </w:pPr>
      <w:r>
        <w:fldChar w:fldCharType="begin"/>
      </w:r>
      <w:r>
        <w:instrText xml:space="preserve"> HYPERLINK \l _Toc30072 </w:instrText>
      </w:r>
      <w:r>
        <w:fldChar w:fldCharType="separate"/>
      </w:r>
      <w:r>
        <w:rPr>
          <w:rFonts w:hint="default" w:ascii="Times New Roman" w:hAnsi="Times New Roman" w:eastAsia="黑体"/>
          <w:i w:val="0"/>
          <w:szCs w:val="30"/>
        </w:rPr>
        <w:t xml:space="preserve">2.3.4 </w:t>
      </w:r>
      <w:r>
        <w:rPr>
          <w:rFonts w:hint="eastAsia"/>
        </w:rPr>
        <w:t>安全需求</w:t>
      </w:r>
      <w:r>
        <w:tab/>
      </w:r>
      <w:r>
        <w:fldChar w:fldCharType="begin"/>
      </w:r>
      <w:r>
        <w:instrText xml:space="preserve"> PAGEREF _Toc30072 \h </w:instrText>
      </w:r>
      <w:r>
        <w:fldChar w:fldCharType="separate"/>
      </w:r>
      <w:r>
        <w:t>9</w:t>
      </w:r>
      <w:r>
        <w:fldChar w:fldCharType="end"/>
      </w:r>
      <w:r>
        <w:fldChar w:fldCharType="end"/>
      </w:r>
    </w:p>
    <w:p w14:paraId="05630C73">
      <w:pPr>
        <w:pStyle w:val="20"/>
        <w:tabs>
          <w:tab w:val="right" w:leader="dot" w:pos="8306"/>
          <w:tab w:val="clear" w:pos="8296"/>
        </w:tabs>
      </w:pPr>
      <w:r>
        <w:fldChar w:fldCharType="begin"/>
      </w:r>
      <w:r>
        <w:instrText xml:space="preserve"> HYPERLINK \l _Toc17601 </w:instrText>
      </w:r>
      <w:r>
        <w:fldChar w:fldCharType="separate"/>
      </w:r>
      <w:r>
        <w:rPr>
          <w:rFonts w:hint="default" w:ascii="Times New Roman" w:hAnsi="Times New Roman" w:eastAsia="黑体"/>
          <w:i w:val="0"/>
        </w:rPr>
        <w:t xml:space="preserve">第三章 </w:t>
      </w:r>
      <w:r>
        <w:rPr>
          <w:rFonts w:hint="eastAsia"/>
          <w:lang w:val="en-US" w:eastAsia="zh-CN"/>
        </w:rPr>
        <w:t>系统建设内容</w:t>
      </w:r>
      <w:r>
        <w:tab/>
      </w:r>
      <w:r>
        <w:fldChar w:fldCharType="begin"/>
      </w:r>
      <w:r>
        <w:instrText xml:space="preserve"> PAGEREF _Toc17601 \h </w:instrText>
      </w:r>
      <w:r>
        <w:fldChar w:fldCharType="separate"/>
      </w:r>
      <w:r>
        <w:t>10</w:t>
      </w:r>
      <w:r>
        <w:fldChar w:fldCharType="end"/>
      </w:r>
      <w:r>
        <w:fldChar w:fldCharType="end"/>
      </w:r>
    </w:p>
    <w:p w14:paraId="0D903CFD">
      <w:pPr>
        <w:pStyle w:val="22"/>
        <w:tabs>
          <w:tab w:val="right" w:leader="dot" w:pos="8306"/>
        </w:tabs>
      </w:pPr>
      <w:r>
        <w:fldChar w:fldCharType="begin"/>
      </w:r>
      <w:r>
        <w:instrText xml:space="preserve"> HYPERLINK \l _Toc18286 </w:instrText>
      </w:r>
      <w:r>
        <w:fldChar w:fldCharType="separate"/>
      </w:r>
      <w:r>
        <w:rPr>
          <w:rFonts w:hint="default" w:ascii="Times New Roman" w:hAnsi="Times New Roman" w:eastAsia="黑体"/>
          <w:i w:val="0"/>
        </w:rPr>
        <w:t xml:space="preserve">3.1 </w:t>
      </w:r>
      <w:r>
        <w:rPr>
          <w:rFonts w:hint="eastAsia"/>
        </w:rPr>
        <w:t>系统总体架构</w:t>
      </w:r>
      <w:r>
        <w:tab/>
      </w:r>
      <w:r>
        <w:fldChar w:fldCharType="begin"/>
      </w:r>
      <w:r>
        <w:instrText xml:space="preserve"> PAGEREF _Toc18286 \h </w:instrText>
      </w:r>
      <w:r>
        <w:fldChar w:fldCharType="separate"/>
      </w:r>
      <w:r>
        <w:t>10</w:t>
      </w:r>
      <w:r>
        <w:fldChar w:fldCharType="end"/>
      </w:r>
      <w:r>
        <w:fldChar w:fldCharType="end"/>
      </w:r>
    </w:p>
    <w:p w14:paraId="78911319">
      <w:pPr>
        <w:pStyle w:val="22"/>
        <w:tabs>
          <w:tab w:val="right" w:leader="dot" w:pos="8306"/>
        </w:tabs>
      </w:pPr>
      <w:r>
        <w:fldChar w:fldCharType="begin"/>
      </w:r>
      <w:r>
        <w:instrText xml:space="preserve"> HYPERLINK \l _Toc16253 </w:instrText>
      </w:r>
      <w:r>
        <w:fldChar w:fldCharType="separate"/>
      </w:r>
      <w:r>
        <w:rPr>
          <w:rFonts w:hint="default" w:ascii="Times New Roman" w:hAnsi="Times New Roman" w:eastAsia="黑体"/>
          <w:i w:val="0"/>
        </w:rPr>
        <w:t xml:space="preserve">3.2 </w:t>
      </w:r>
      <w:r>
        <w:rPr>
          <w:rFonts w:hint="eastAsia"/>
        </w:rPr>
        <w:t>总体建设内容</w:t>
      </w:r>
      <w:r>
        <w:tab/>
      </w:r>
      <w:r>
        <w:fldChar w:fldCharType="begin"/>
      </w:r>
      <w:r>
        <w:instrText xml:space="preserve"> PAGEREF _Toc16253 \h </w:instrText>
      </w:r>
      <w:r>
        <w:fldChar w:fldCharType="separate"/>
      </w:r>
      <w:r>
        <w:t>11</w:t>
      </w:r>
      <w:r>
        <w:fldChar w:fldCharType="end"/>
      </w:r>
      <w:r>
        <w:fldChar w:fldCharType="end"/>
      </w:r>
    </w:p>
    <w:p w14:paraId="1871B78D">
      <w:pPr>
        <w:pStyle w:val="22"/>
        <w:tabs>
          <w:tab w:val="right" w:leader="dot" w:pos="8306"/>
        </w:tabs>
      </w:pPr>
      <w:r>
        <w:fldChar w:fldCharType="begin"/>
      </w:r>
      <w:r>
        <w:instrText xml:space="preserve"> HYPERLINK \l _Toc8700 </w:instrText>
      </w:r>
      <w:r>
        <w:fldChar w:fldCharType="separate"/>
      </w:r>
      <w:r>
        <w:rPr>
          <w:rFonts w:hint="default" w:ascii="Times New Roman" w:hAnsi="Times New Roman" w:eastAsia="黑体"/>
          <w:i w:val="0"/>
        </w:rPr>
        <w:t xml:space="preserve">3.3 </w:t>
      </w:r>
      <w:r>
        <w:rPr>
          <w:rFonts w:hint="eastAsia"/>
        </w:rPr>
        <w:t>边界安全接入平台技术框架</w:t>
      </w:r>
      <w:r>
        <w:tab/>
      </w:r>
      <w:r>
        <w:fldChar w:fldCharType="begin"/>
      </w:r>
      <w:r>
        <w:instrText xml:space="preserve"> PAGEREF _Toc8700 \h </w:instrText>
      </w:r>
      <w:r>
        <w:fldChar w:fldCharType="separate"/>
      </w:r>
      <w:r>
        <w:t>12</w:t>
      </w:r>
      <w:r>
        <w:fldChar w:fldCharType="end"/>
      </w:r>
      <w:r>
        <w:fldChar w:fldCharType="end"/>
      </w:r>
    </w:p>
    <w:p w14:paraId="7D70B97F">
      <w:pPr>
        <w:pStyle w:val="22"/>
        <w:tabs>
          <w:tab w:val="right" w:leader="dot" w:pos="8306"/>
        </w:tabs>
      </w:pPr>
      <w:r>
        <w:fldChar w:fldCharType="begin"/>
      </w:r>
      <w:r>
        <w:instrText xml:space="preserve"> HYPERLINK \l _Toc31142 </w:instrText>
      </w:r>
      <w:r>
        <w:fldChar w:fldCharType="separate"/>
      </w:r>
      <w:r>
        <w:rPr>
          <w:rFonts w:hint="default" w:ascii="Times New Roman" w:hAnsi="Times New Roman" w:eastAsia="黑体"/>
          <w:i w:val="0"/>
        </w:rPr>
        <w:t xml:space="preserve">3.4 </w:t>
      </w:r>
      <w:r>
        <w:rPr>
          <w:rFonts w:hint="eastAsia"/>
        </w:rPr>
        <w:t>网络安全技术建设方案</w:t>
      </w:r>
      <w:r>
        <w:tab/>
      </w:r>
      <w:r>
        <w:fldChar w:fldCharType="begin"/>
      </w:r>
      <w:r>
        <w:instrText xml:space="preserve"> PAGEREF _Toc31142 \h </w:instrText>
      </w:r>
      <w:r>
        <w:fldChar w:fldCharType="separate"/>
      </w:r>
      <w:r>
        <w:t>14</w:t>
      </w:r>
      <w:r>
        <w:fldChar w:fldCharType="end"/>
      </w:r>
      <w:r>
        <w:fldChar w:fldCharType="end"/>
      </w:r>
    </w:p>
    <w:p w14:paraId="38C29C2A">
      <w:pPr>
        <w:pStyle w:val="17"/>
        <w:tabs>
          <w:tab w:val="right" w:leader="dot" w:pos="8306"/>
        </w:tabs>
      </w:pPr>
      <w:r>
        <w:fldChar w:fldCharType="begin"/>
      </w:r>
      <w:r>
        <w:instrText xml:space="preserve"> HYPERLINK \l _Toc6053 </w:instrText>
      </w:r>
      <w:r>
        <w:fldChar w:fldCharType="separate"/>
      </w:r>
      <w:r>
        <w:rPr>
          <w:rFonts w:hint="default" w:ascii="Times New Roman" w:hAnsi="Times New Roman" w:eastAsia="黑体"/>
          <w:i w:val="0"/>
          <w:szCs w:val="30"/>
        </w:rPr>
        <w:t xml:space="preserve">3.4.1 </w:t>
      </w:r>
      <w:r>
        <w:rPr>
          <w:rFonts w:hint="eastAsia"/>
        </w:rPr>
        <w:t>安全区域划分</w:t>
      </w:r>
      <w:r>
        <w:tab/>
      </w:r>
      <w:r>
        <w:fldChar w:fldCharType="begin"/>
      </w:r>
      <w:r>
        <w:instrText xml:space="preserve"> PAGEREF _Toc6053 \h </w:instrText>
      </w:r>
      <w:r>
        <w:fldChar w:fldCharType="separate"/>
      </w:r>
      <w:r>
        <w:t>14</w:t>
      </w:r>
      <w:r>
        <w:fldChar w:fldCharType="end"/>
      </w:r>
      <w:r>
        <w:fldChar w:fldCharType="end"/>
      </w:r>
    </w:p>
    <w:p w14:paraId="79E55DFA">
      <w:pPr>
        <w:pStyle w:val="17"/>
        <w:tabs>
          <w:tab w:val="right" w:leader="dot" w:pos="8306"/>
        </w:tabs>
      </w:pPr>
      <w:r>
        <w:fldChar w:fldCharType="begin"/>
      </w:r>
      <w:r>
        <w:instrText xml:space="preserve"> HYPERLINK \l _Toc10077 </w:instrText>
      </w:r>
      <w:r>
        <w:fldChar w:fldCharType="separate"/>
      </w:r>
      <w:r>
        <w:rPr>
          <w:rFonts w:hint="default" w:ascii="Times New Roman" w:hAnsi="Times New Roman" w:eastAsia="黑体"/>
          <w:i w:val="0"/>
          <w:szCs w:val="30"/>
        </w:rPr>
        <w:t xml:space="preserve">3.4.2 </w:t>
      </w:r>
      <w:r>
        <w:rPr>
          <w:rFonts w:hint="eastAsia"/>
        </w:rPr>
        <w:t>接入设备技术要求</w:t>
      </w:r>
      <w:r>
        <w:tab/>
      </w:r>
      <w:r>
        <w:fldChar w:fldCharType="begin"/>
      </w:r>
      <w:r>
        <w:instrText xml:space="preserve"> PAGEREF _Toc10077 \h </w:instrText>
      </w:r>
      <w:r>
        <w:fldChar w:fldCharType="separate"/>
      </w:r>
      <w:r>
        <w:t>17</w:t>
      </w:r>
      <w:r>
        <w:fldChar w:fldCharType="end"/>
      </w:r>
      <w:r>
        <w:fldChar w:fldCharType="end"/>
      </w:r>
    </w:p>
    <w:p w14:paraId="6C79917B">
      <w:pPr>
        <w:pStyle w:val="17"/>
        <w:tabs>
          <w:tab w:val="right" w:leader="dot" w:pos="8306"/>
        </w:tabs>
      </w:pPr>
      <w:r>
        <w:fldChar w:fldCharType="begin"/>
      </w:r>
      <w:r>
        <w:instrText xml:space="preserve"> HYPERLINK \l _Toc28936 </w:instrText>
      </w:r>
      <w:r>
        <w:fldChar w:fldCharType="separate"/>
      </w:r>
      <w:r>
        <w:rPr>
          <w:rFonts w:hint="default" w:ascii="Times New Roman" w:hAnsi="Times New Roman" w:eastAsia="黑体"/>
          <w:i w:val="0"/>
          <w:szCs w:val="30"/>
        </w:rPr>
        <w:t xml:space="preserve">3.4.3 </w:t>
      </w:r>
      <w:r>
        <w:rPr>
          <w:rFonts w:hint="eastAsia"/>
        </w:rPr>
        <w:t>数据交换服务流程</w:t>
      </w:r>
      <w:r>
        <w:tab/>
      </w:r>
      <w:r>
        <w:fldChar w:fldCharType="begin"/>
      </w:r>
      <w:r>
        <w:instrText xml:space="preserve"> PAGEREF _Toc28936 \h </w:instrText>
      </w:r>
      <w:r>
        <w:fldChar w:fldCharType="separate"/>
      </w:r>
      <w:r>
        <w:t>18</w:t>
      </w:r>
      <w:r>
        <w:fldChar w:fldCharType="end"/>
      </w:r>
      <w:r>
        <w:fldChar w:fldCharType="end"/>
      </w:r>
    </w:p>
    <w:p w14:paraId="74444B17">
      <w:pPr>
        <w:pStyle w:val="17"/>
        <w:tabs>
          <w:tab w:val="right" w:leader="dot" w:pos="8306"/>
        </w:tabs>
      </w:pPr>
      <w:r>
        <w:fldChar w:fldCharType="begin"/>
      </w:r>
      <w:r>
        <w:instrText xml:space="preserve"> HYPERLINK \l _Toc18369 </w:instrText>
      </w:r>
      <w:r>
        <w:fldChar w:fldCharType="separate"/>
      </w:r>
      <w:r>
        <w:rPr>
          <w:rFonts w:hint="default" w:ascii="Times New Roman" w:hAnsi="Times New Roman" w:eastAsia="黑体"/>
          <w:i w:val="0"/>
          <w:szCs w:val="30"/>
        </w:rPr>
        <w:t xml:space="preserve">3.4.4 </w:t>
      </w:r>
      <w:r>
        <w:rPr>
          <w:rFonts w:hint="eastAsia"/>
        </w:rPr>
        <w:t>接入平台性能要求</w:t>
      </w:r>
      <w:r>
        <w:tab/>
      </w:r>
      <w:r>
        <w:fldChar w:fldCharType="begin"/>
      </w:r>
      <w:r>
        <w:instrText xml:space="preserve"> PAGEREF _Toc18369 \h </w:instrText>
      </w:r>
      <w:r>
        <w:fldChar w:fldCharType="separate"/>
      </w:r>
      <w:r>
        <w:t>18</w:t>
      </w:r>
      <w:r>
        <w:fldChar w:fldCharType="end"/>
      </w:r>
      <w:r>
        <w:fldChar w:fldCharType="end"/>
      </w:r>
    </w:p>
    <w:p w14:paraId="0C919780">
      <w:pPr>
        <w:pStyle w:val="22"/>
        <w:tabs>
          <w:tab w:val="right" w:leader="dot" w:pos="8306"/>
        </w:tabs>
      </w:pPr>
      <w:r>
        <w:fldChar w:fldCharType="begin"/>
      </w:r>
      <w:r>
        <w:instrText xml:space="preserve"> HYPERLINK \l _Toc3542 </w:instrText>
      </w:r>
      <w:r>
        <w:fldChar w:fldCharType="separate"/>
      </w:r>
      <w:r>
        <w:rPr>
          <w:rFonts w:hint="default" w:ascii="Times New Roman" w:hAnsi="Times New Roman" w:eastAsia="黑体"/>
          <w:i w:val="0"/>
        </w:rPr>
        <w:t xml:space="preserve">3.5 </w:t>
      </w:r>
      <w:r>
        <w:rPr>
          <w:rFonts w:hint="eastAsia"/>
        </w:rPr>
        <w:t>边界安全接入平台安全管理要求</w:t>
      </w:r>
      <w:r>
        <w:tab/>
      </w:r>
      <w:r>
        <w:fldChar w:fldCharType="begin"/>
      </w:r>
      <w:r>
        <w:instrText xml:space="preserve"> PAGEREF _Toc3542 \h </w:instrText>
      </w:r>
      <w:r>
        <w:fldChar w:fldCharType="separate"/>
      </w:r>
      <w:r>
        <w:t>19</w:t>
      </w:r>
      <w:r>
        <w:fldChar w:fldCharType="end"/>
      </w:r>
      <w:r>
        <w:fldChar w:fldCharType="end"/>
      </w:r>
    </w:p>
    <w:p w14:paraId="7D1AFF57">
      <w:pPr>
        <w:pStyle w:val="17"/>
        <w:tabs>
          <w:tab w:val="right" w:leader="dot" w:pos="8306"/>
        </w:tabs>
      </w:pPr>
      <w:r>
        <w:fldChar w:fldCharType="begin"/>
      </w:r>
      <w:r>
        <w:instrText xml:space="preserve"> HYPERLINK \l _Toc27785 </w:instrText>
      </w:r>
      <w:r>
        <w:fldChar w:fldCharType="separate"/>
      </w:r>
      <w:r>
        <w:rPr>
          <w:rFonts w:hint="default" w:ascii="Times New Roman" w:hAnsi="Times New Roman" w:eastAsia="黑体"/>
          <w:i w:val="0"/>
          <w:szCs w:val="30"/>
        </w:rPr>
        <w:t xml:space="preserve">3.5.1 </w:t>
      </w:r>
      <w:r>
        <w:rPr>
          <w:rFonts w:hint="eastAsia"/>
        </w:rPr>
        <w:t>建设管理要求</w:t>
      </w:r>
      <w:r>
        <w:tab/>
      </w:r>
      <w:r>
        <w:fldChar w:fldCharType="begin"/>
      </w:r>
      <w:r>
        <w:instrText xml:space="preserve"> PAGEREF _Toc27785 \h </w:instrText>
      </w:r>
      <w:r>
        <w:fldChar w:fldCharType="separate"/>
      </w:r>
      <w:r>
        <w:t>19</w:t>
      </w:r>
      <w:r>
        <w:fldChar w:fldCharType="end"/>
      </w:r>
      <w:r>
        <w:fldChar w:fldCharType="end"/>
      </w:r>
    </w:p>
    <w:p w14:paraId="62D96A77">
      <w:pPr>
        <w:pStyle w:val="17"/>
        <w:tabs>
          <w:tab w:val="right" w:leader="dot" w:pos="8306"/>
        </w:tabs>
      </w:pPr>
      <w:r>
        <w:fldChar w:fldCharType="begin"/>
      </w:r>
      <w:r>
        <w:instrText xml:space="preserve"> HYPERLINK \l _Toc20113 </w:instrText>
      </w:r>
      <w:r>
        <w:fldChar w:fldCharType="separate"/>
      </w:r>
      <w:r>
        <w:rPr>
          <w:rFonts w:hint="default" w:ascii="Times New Roman" w:hAnsi="Times New Roman" w:eastAsia="黑体"/>
          <w:i w:val="0"/>
          <w:szCs w:val="30"/>
        </w:rPr>
        <w:t xml:space="preserve">3.5.2 </w:t>
      </w:r>
      <w:r>
        <w:rPr>
          <w:rFonts w:hint="eastAsia"/>
        </w:rPr>
        <w:t>接入业务管理要求</w:t>
      </w:r>
      <w:r>
        <w:tab/>
      </w:r>
      <w:r>
        <w:fldChar w:fldCharType="begin"/>
      </w:r>
      <w:r>
        <w:instrText xml:space="preserve"> PAGEREF _Toc20113 \h </w:instrText>
      </w:r>
      <w:r>
        <w:fldChar w:fldCharType="separate"/>
      </w:r>
      <w:r>
        <w:t>19</w:t>
      </w:r>
      <w:r>
        <w:fldChar w:fldCharType="end"/>
      </w:r>
      <w:r>
        <w:fldChar w:fldCharType="end"/>
      </w:r>
    </w:p>
    <w:p w14:paraId="3ACB1278">
      <w:pPr>
        <w:pStyle w:val="17"/>
        <w:tabs>
          <w:tab w:val="right" w:leader="dot" w:pos="8306"/>
        </w:tabs>
      </w:pPr>
      <w:r>
        <w:fldChar w:fldCharType="begin"/>
      </w:r>
      <w:r>
        <w:instrText xml:space="preserve"> HYPERLINK \l _Toc15172 </w:instrText>
      </w:r>
      <w:r>
        <w:fldChar w:fldCharType="separate"/>
      </w:r>
      <w:r>
        <w:rPr>
          <w:rFonts w:hint="default" w:ascii="Times New Roman" w:hAnsi="Times New Roman" w:eastAsia="黑体"/>
          <w:i w:val="0"/>
          <w:szCs w:val="30"/>
        </w:rPr>
        <w:t xml:space="preserve">3.5.3 </w:t>
      </w:r>
      <w:r>
        <w:rPr>
          <w:rFonts w:hint="eastAsia"/>
        </w:rPr>
        <w:t>运维管理</w:t>
      </w:r>
      <w:r>
        <w:tab/>
      </w:r>
      <w:r>
        <w:fldChar w:fldCharType="begin"/>
      </w:r>
      <w:r>
        <w:instrText xml:space="preserve"> PAGEREF _Toc15172 \h </w:instrText>
      </w:r>
      <w:r>
        <w:fldChar w:fldCharType="separate"/>
      </w:r>
      <w:r>
        <w:t>20</w:t>
      </w:r>
      <w:r>
        <w:fldChar w:fldCharType="end"/>
      </w:r>
      <w:r>
        <w:fldChar w:fldCharType="end"/>
      </w:r>
    </w:p>
    <w:p w14:paraId="49566F55">
      <w:pPr>
        <w:pStyle w:val="17"/>
        <w:tabs>
          <w:tab w:val="right" w:leader="dot" w:pos="8306"/>
        </w:tabs>
      </w:pPr>
      <w:r>
        <w:fldChar w:fldCharType="begin"/>
      </w:r>
      <w:r>
        <w:instrText xml:space="preserve"> HYPERLINK \l _Toc21817 </w:instrText>
      </w:r>
      <w:r>
        <w:fldChar w:fldCharType="separate"/>
      </w:r>
      <w:r>
        <w:rPr>
          <w:rFonts w:hint="default" w:ascii="Times New Roman" w:hAnsi="Times New Roman" w:eastAsia="黑体"/>
          <w:i w:val="0"/>
          <w:szCs w:val="30"/>
        </w:rPr>
        <w:t xml:space="preserve">3.5.4 </w:t>
      </w:r>
      <w:r>
        <w:rPr>
          <w:rFonts w:hint="eastAsia"/>
        </w:rPr>
        <w:t>接入平台管理报表</w:t>
      </w:r>
      <w:r>
        <w:tab/>
      </w:r>
      <w:r>
        <w:fldChar w:fldCharType="begin"/>
      </w:r>
      <w:r>
        <w:instrText xml:space="preserve"> PAGEREF _Toc21817 \h </w:instrText>
      </w:r>
      <w:r>
        <w:fldChar w:fldCharType="separate"/>
      </w:r>
      <w:r>
        <w:t>20</w:t>
      </w:r>
      <w:r>
        <w:fldChar w:fldCharType="end"/>
      </w:r>
      <w:r>
        <w:fldChar w:fldCharType="end"/>
      </w:r>
    </w:p>
    <w:p w14:paraId="2F1717E0">
      <w:pPr>
        <w:pStyle w:val="22"/>
        <w:tabs>
          <w:tab w:val="right" w:leader="dot" w:pos="8306"/>
        </w:tabs>
      </w:pPr>
      <w:r>
        <w:fldChar w:fldCharType="begin"/>
      </w:r>
      <w:r>
        <w:instrText xml:space="preserve"> HYPERLINK \l _Toc24032 </w:instrText>
      </w:r>
      <w:r>
        <w:fldChar w:fldCharType="separate"/>
      </w:r>
      <w:r>
        <w:rPr>
          <w:rFonts w:hint="default" w:ascii="Times New Roman" w:hAnsi="Times New Roman" w:eastAsia="黑体"/>
          <w:i w:val="0"/>
        </w:rPr>
        <w:t xml:space="preserve">3.6 </w:t>
      </w:r>
      <w:r>
        <w:rPr>
          <w:rFonts w:hint="eastAsia"/>
        </w:rPr>
        <w:t>系统配置及软硬件选型原则</w:t>
      </w:r>
      <w:r>
        <w:tab/>
      </w:r>
      <w:r>
        <w:fldChar w:fldCharType="begin"/>
      </w:r>
      <w:r>
        <w:instrText xml:space="preserve"> PAGEREF _Toc24032 \h </w:instrText>
      </w:r>
      <w:r>
        <w:fldChar w:fldCharType="separate"/>
      </w:r>
      <w:r>
        <w:t>20</w:t>
      </w:r>
      <w:r>
        <w:fldChar w:fldCharType="end"/>
      </w:r>
      <w:r>
        <w:fldChar w:fldCharType="end"/>
      </w:r>
    </w:p>
    <w:p w14:paraId="32D0FD65">
      <w:pPr>
        <w:pStyle w:val="22"/>
        <w:tabs>
          <w:tab w:val="right" w:leader="dot" w:pos="8306"/>
        </w:tabs>
      </w:pPr>
      <w:r>
        <w:fldChar w:fldCharType="begin"/>
      </w:r>
      <w:r>
        <w:instrText xml:space="preserve"> HYPERLINK \l _Toc7240 </w:instrText>
      </w:r>
      <w:r>
        <w:fldChar w:fldCharType="separate"/>
      </w:r>
      <w:r>
        <w:rPr>
          <w:rFonts w:hint="default" w:ascii="Times New Roman" w:hAnsi="Times New Roman" w:eastAsia="黑体"/>
          <w:i w:val="0"/>
          <w:lang w:eastAsia="zh-Hans"/>
        </w:rPr>
        <w:t xml:space="preserve">3.7 </w:t>
      </w:r>
      <w:r>
        <w:rPr>
          <w:rFonts w:hint="eastAsia"/>
          <w:lang w:eastAsia="zh-Hans"/>
        </w:rPr>
        <w:t>网络安全系统软硬件配置清单</w:t>
      </w:r>
      <w:r>
        <w:tab/>
      </w:r>
      <w:r>
        <w:fldChar w:fldCharType="begin"/>
      </w:r>
      <w:r>
        <w:instrText xml:space="preserve"> PAGEREF _Toc7240 \h </w:instrText>
      </w:r>
      <w:r>
        <w:fldChar w:fldCharType="separate"/>
      </w:r>
      <w:r>
        <w:t>22</w:t>
      </w:r>
      <w:r>
        <w:fldChar w:fldCharType="end"/>
      </w:r>
      <w:r>
        <w:fldChar w:fldCharType="end"/>
      </w:r>
    </w:p>
    <w:p w14:paraId="7904894E">
      <w:pPr>
        <w:sectPr>
          <w:pgSz w:w="11906" w:h="16838"/>
          <w:pgMar w:top="1440" w:right="1800" w:bottom="1440" w:left="1800" w:header="851" w:footer="992" w:gutter="0"/>
          <w:cols w:space="425" w:num="1"/>
          <w:docGrid w:type="lines" w:linePitch="312" w:charSpace="0"/>
        </w:sectPr>
      </w:pPr>
      <w:r>
        <w:fldChar w:fldCharType="end"/>
      </w:r>
    </w:p>
    <w:p w14:paraId="278DC29E">
      <w:pPr>
        <w:pStyle w:val="5"/>
        <w:bidi w:val="0"/>
      </w:pPr>
      <w:bookmarkStart w:id="0" w:name="_Toc4803"/>
      <w:bookmarkStart w:id="1" w:name="_Toc32246568"/>
      <w:bookmarkStart w:id="2" w:name="_Toc31805986"/>
      <w:bookmarkStart w:id="3" w:name="_Toc32245634"/>
      <w:r>
        <w:rPr>
          <w:rFonts w:hint="eastAsia"/>
        </w:rPr>
        <w:t>项目概述</w:t>
      </w:r>
      <w:bookmarkEnd w:id="0"/>
    </w:p>
    <w:p w14:paraId="6AEF361E">
      <w:pPr>
        <w:pStyle w:val="6"/>
        <w:bidi w:val="0"/>
      </w:pPr>
      <w:bookmarkStart w:id="4" w:name="_Toc18325"/>
      <w:r>
        <w:rPr>
          <w:rFonts w:hint="eastAsia"/>
        </w:rPr>
        <w:t>建设背景</w:t>
      </w:r>
      <w:bookmarkEnd w:id="4"/>
    </w:p>
    <w:p w14:paraId="75FC00B3">
      <w:r>
        <w:rPr>
          <w:rFonts w:hint="eastAsia"/>
        </w:rPr>
        <w:t>随着检察机关科技强检战略深入实施，检察工作网作为检察机关的重要基础网络，已成为与其他党政机关、企事业等单位非涉密网络互联互通、数据共享和业务协同的重要支撑平台。但随着检察工作网覆盖范围、数据交换范围与用户群体的扩大，解决专网与专网之间、专网与互联网之间的边界链路安全问题，已成为加强检察机关与政法机关、行政执法部门资源共享，推动建设政法网络互联互通和信息资源共享平台的底板工程。</w:t>
      </w:r>
    </w:p>
    <w:p w14:paraId="5FB3D121">
      <w:r>
        <w:rPr>
          <w:rFonts w:hint="eastAsia"/>
        </w:rPr>
        <w:t>随着统一业务应用系统</w:t>
      </w:r>
      <w:r>
        <w:t>2.0在工作网的部署，今后检察机关业务主要在工作网进行开展，为进一步促进智慧检务的发展，需和外部非涉密网络之间进行数据和业务对接，工作网需和外部专网、互联网等进行互联互通。为此2018年7月13日，最高检下发了《智慧检务工程建设指导方案（2018-2020年）》（高检技〔2018〕59号），要求加快建设网络安全接入和交换平台。检察机关根据接入对象、接入链路、业务交换需求和应用场景，结合相关保密和安全要求，制定针对性的安全接入和交换方案，建设本级网络安全接入和交换平台。</w:t>
      </w:r>
    </w:p>
    <w:p w14:paraId="106AD3CE">
      <w:r>
        <w:t>2019年9月6日，最高检下发的《检察工作网边界安全接入平台建设管理规范》（高检技〔2019〕26号）要求，检察工作网需建设边界安全接入平台，明确了检察工作网边界安全接入平台的总体框架、技术要求和管理要求，为全国检察机关开展检察工作网边界安全接入平台建设和管理工作提供指导，保障检察机关与外部非涉密网络数据共享、业务协同安全稳定可靠运行，地市级院可以参照高检院管理规范和省院方案，做好本地边界安全接入平台建设，满足检察工作网与外部专网、互联网的数据交换和业务协同业务和移动办公等业务。</w:t>
      </w:r>
    </w:p>
    <w:p w14:paraId="6D4C4021">
      <w:pPr>
        <w:pStyle w:val="6"/>
        <w:bidi w:val="0"/>
        <w:ind w:left="-420" w:leftChars="0"/>
      </w:pPr>
      <w:bookmarkStart w:id="5" w:name="_Toc23137"/>
      <w:r>
        <w:rPr>
          <w:rFonts w:hint="eastAsia"/>
        </w:rPr>
        <w:t>建设目标</w:t>
      </w:r>
      <w:bookmarkEnd w:id="5"/>
    </w:p>
    <w:p w14:paraId="214517F8">
      <w:r>
        <w:rPr>
          <w:rFonts w:hint="eastAsia"/>
        </w:rPr>
        <w:t>本项目旨在落实最高人民检察院</w:t>
      </w:r>
      <w:r>
        <w:t>《最高人民检察院关于深化智慧检务建设的意见》</w:t>
      </w:r>
      <w:r>
        <w:rPr>
          <w:rFonts w:hint="eastAsia"/>
        </w:rPr>
        <w:t>、</w:t>
      </w:r>
      <w:r>
        <w:t>《关于加强新时代检察机关网络法治工作的意见》</w:t>
      </w:r>
      <w:r>
        <w:rPr>
          <w:rFonts w:hint="eastAsia"/>
        </w:rPr>
        <w:t>、</w:t>
      </w:r>
      <w:r>
        <w:t>《检察工作网安全保障系统建设指导意见》、</w:t>
      </w:r>
      <w:r>
        <w:rPr>
          <w:rFonts w:hint="eastAsia"/>
        </w:rPr>
        <w:t>《检察工作网边界安全接入平台建设管理规范》（高检技〔</w:t>
      </w:r>
      <w:r>
        <w:t>2019〕26号）要求及</w:t>
      </w:r>
      <w:r>
        <w:rPr>
          <w:rFonts w:hint="eastAsia"/>
        </w:rPr>
        <w:t>达州市人民检察院</w:t>
      </w:r>
      <w:r>
        <w:t>工作整体部署</w:t>
      </w:r>
      <w:r>
        <w:rPr>
          <w:rFonts w:hint="eastAsia"/>
        </w:rPr>
        <w:t>。以安全、可信、合规为目标，建设高效集约的检察工作网边界安全接入平台，具备完善的跨网交换安全能力，实现接入应用系统和设备的身份可信，保护数据安全共享，抵御网络恶意攻击满足机密性、完整性和可用性要求，确保跨网数据共享和业务协同的网络安全、主机安全、应用安全和数据安全。</w:t>
      </w:r>
    </w:p>
    <w:p w14:paraId="72B540CF">
      <w:pPr>
        <w:pStyle w:val="6"/>
        <w:bidi w:val="0"/>
        <w:ind w:left="-420" w:leftChars="0"/>
      </w:pPr>
      <w:bookmarkStart w:id="6" w:name="_Toc29093"/>
      <w:r>
        <w:rPr>
          <w:rFonts w:hint="eastAsia"/>
        </w:rPr>
        <w:t>建设规模</w:t>
      </w:r>
      <w:bookmarkEnd w:id="6"/>
    </w:p>
    <w:p w14:paraId="2E843C7D">
      <w:pPr>
        <w:bidi w:val="0"/>
      </w:pPr>
      <w:r>
        <w:rPr>
          <w:rFonts w:hint="eastAsia"/>
        </w:rPr>
        <w:t>建设一条数据交换链路和一条视频交换链路连接外部专网（公安、法院等专网），建设一条数据交换链路连接互联网，建设一条视频交换链路连接移动专网，完善相应的网络安全和数据安全防护能力。</w:t>
      </w:r>
    </w:p>
    <w:p w14:paraId="2211417B">
      <w:pPr>
        <w:pStyle w:val="6"/>
        <w:bidi w:val="0"/>
        <w:ind w:left="-420" w:leftChars="0"/>
      </w:pPr>
      <w:bookmarkStart w:id="7" w:name="_Toc21133"/>
      <w:r>
        <w:rPr>
          <w:rFonts w:hint="eastAsia"/>
        </w:rPr>
        <w:t>建设内容</w:t>
      </w:r>
      <w:bookmarkEnd w:id="7"/>
    </w:p>
    <w:p w14:paraId="0B09DCC2">
      <w:pPr>
        <w:bidi w:val="0"/>
        <w:rPr>
          <w:rFonts w:hint="eastAsia"/>
        </w:rPr>
      </w:pPr>
      <w:r>
        <w:rPr>
          <w:rFonts w:hint="eastAsia"/>
        </w:rPr>
        <w:t>建设3台接入交换机、2套数据安全交换系统、2套视频安全交换系统、1台网闸3台单向光闸、3台入侵检测、3台数据防泄漏、3台集控探针、1台集中监控系统、3台安全边界接入网关、3台接入防火墙。</w:t>
      </w:r>
    </w:p>
    <w:p w14:paraId="203B6B18">
      <w:pPr>
        <w:pStyle w:val="5"/>
        <w:bidi w:val="0"/>
      </w:pPr>
      <w:bookmarkStart w:id="8" w:name="_Toc15020"/>
      <w:r>
        <w:t>需求分析</w:t>
      </w:r>
      <w:bookmarkEnd w:id="8"/>
    </w:p>
    <w:p w14:paraId="22882A4C">
      <w:pPr>
        <w:pStyle w:val="6"/>
      </w:pPr>
      <w:bookmarkStart w:id="9" w:name="_Toc9465"/>
      <w:r>
        <w:rPr>
          <w:rFonts w:hint="eastAsia"/>
        </w:rPr>
        <w:t>现状分析</w:t>
      </w:r>
      <w:bookmarkEnd w:id="9"/>
    </w:p>
    <w:p w14:paraId="5CCB7063">
      <w:pPr>
        <w:pStyle w:val="7"/>
      </w:pPr>
      <w:bookmarkStart w:id="10" w:name="_Toc29828"/>
      <w:r>
        <w:rPr>
          <w:rFonts w:hint="eastAsia"/>
        </w:rPr>
        <w:t>主机安全现状</w:t>
      </w:r>
      <w:bookmarkEnd w:id="10"/>
    </w:p>
    <w:p w14:paraId="03A36A73">
      <w:r>
        <w:rPr>
          <w:rFonts w:hint="eastAsia"/>
        </w:rPr>
        <w:t>接入用户类型多，场所物理环境不安全、人员复杂、接入终端安全状态不可控，且接入后行为不可控，终端安全风险较大；其次，接入终端存在非法使用、非授权访问，甚至存在伪造终端接入，并有可能发展为木马、病毒的传播来源。</w:t>
      </w:r>
    </w:p>
    <w:p w14:paraId="2F376125">
      <w:pPr>
        <w:pStyle w:val="7"/>
      </w:pPr>
      <w:bookmarkStart w:id="11" w:name="_Toc14148"/>
      <w:r>
        <w:rPr>
          <w:rFonts w:hint="eastAsia"/>
        </w:rPr>
        <w:t>网络安全现状</w:t>
      </w:r>
      <w:bookmarkEnd w:id="11"/>
    </w:p>
    <w:p w14:paraId="7A969816">
      <w:r>
        <w:rPr>
          <w:rFonts w:hint="eastAsia"/>
        </w:rPr>
        <w:t>接入链路复杂、缺乏针对数据传输机密性、完整性的保障机制，存在敏感数据被篡改外泄的风险，以及存在非法数据、病毒数据通过接入链路进入内部网络的风险。</w:t>
      </w:r>
    </w:p>
    <w:p w14:paraId="7E55876A">
      <w:pPr>
        <w:pStyle w:val="7"/>
      </w:pPr>
      <w:bookmarkStart w:id="12" w:name="_Toc1229"/>
      <w:r>
        <w:rPr>
          <w:rFonts w:hint="eastAsia"/>
        </w:rPr>
        <w:t>应用安全现状</w:t>
      </w:r>
      <w:bookmarkEnd w:id="12"/>
    </w:p>
    <w:p w14:paraId="3238DE6D">
      <w:r>
        <w:rPr>
          <w:rFonts w:hint="eastAsia"/>
        </w:rPr>
        <w:t>接入用户存在对应用的越权访问，信息泄密的风险；其次，与外部对象连接后应用系统暴露面扩大，安全风险增加，极易遭受黑客攻击、木马入侵、病毒传播、信息篡改和数据窃取等不同程度的安全威胁。</w:t>
      </w:r>
    </w:p>
    <w:p w14:paraId="4AB9CB3F">
      <w:pPr>
        <w:pStyle w:val="6"/>
      </w:pPr>
      <w:bookmarkStart w:id="13" w:name="_Toc7425"/>
      <w:r>
        <w:rPr>
          <w:rFonts w:hint="eastAsia"/>
        </w:rPr>
        <w:t>业务需求</w:t>
      </w:r>
      <w:bookmarkEnd w:id="13"/>
    </w:p>
    <w:p w14:paraId="54B70CF2">
      <w:pPr>
        <w:pStyle w:val="7"/>
      </w:pPr>
      <w:bookmarkStart w:id="14" w:name="_Toc19303"/>
      <w:r>
        <w:rPr>
          <w:rFonts w:hint="eastAsia"/>
        </w:rPr>
        <w:t>互联网接入需求</w:t>
      </w:r>
      <w:bookmarkEnd w:id="14"/>
    </w:p>
    <w:p w14:paraId="0D7890AF">
      <w:r>
        <w:rPr>
          <w:rFonts w:hint="eastAsia"/>
        </w:rPr>
        <w:t>互联网与检察工作网之间存在数据交换和业务协同需求，由于互联网安全级别低，互联网服务又需要与检察工作网进行信息交互，需要以服务请求方式实现互联网与互联网间的安全信息共享，边界安全接入平台需满足和互联网安全对接需求。</w:t>
      </w:r>
    </w:p>
    <w:p w14:paraId="65534B36">
      <w:pPr>
        <w:pStyle w:val="7"/>
      </w:pPr>
      <w:bookmarkStart w:id="15" w:name="_Toc12001"/>
      <w:r>
        <w:rPr>
          <w:rFonts w:hint="eastAsia"/>
        </w:rPr>
        <w:t>外部专网接入需求</w:t>
      </w:r>
      <w:bookmarkEnd w:id="15"/>
    </w:p>
    <w:p w14:paraId="477934F4">
      <w:r>
        <w:rPr>
          <w:rFonts w:hint="eastAsia"/>
        </w:rPr>
        <w:t>外部专网包括政法专网、其它政府部门网络以及企事业单位的业务网络，由于检察业务存在和外部单位的数据交换和业务对接，因此检察工作网和外部网络之间存在数据共享交换和业务协同需求，边界安全接入平台需满足和外部专网安全互通需求。</w:t>
      </w:r>
    </w:p>
    <w:p w14:paraId="0FF1426B">
      <w:pPr>
        <w:pStyle w:val="6"/>
      </w:pPr>
      <w:bookmarkStart w:id="16" w:name="_Toc32096"/>
      <w:r>
        <w:rPr>
          <w:rFonts w:hint="eastAsia"/>
        </w:rPr>
        <w:t>应用需求</w:t>
      </w:r>
      <w:bookmarkEnd w:id="16"/>
    </w:p>
    <w:p w14:paraId="358DCB2E">
      <w:r>
        <w:rPr>
          <w:rFonts w:hint="eastAsia"/>
        </w:rPr>
        <w:t>通过业务需求分析可知，边界接入业务在应用上主要有三大类：数据交换、请求服务和授权访问。</w:t>
      </w:r>
    </w:p>
    <w:p w14:paraId="1BB8620E">
      <w:pPr>
        <w:pStyle w:val="7"/>
      </w:pPr>
      <w:bookmarkStart w:id="17" w:name="_Toc6228"/>
      <w:r>
        <w:rPr>
          <w:rFonts w:hint="eastAsia"/>
        </w:rPr>
        <w:t>数据交换类</w:t>
      </w:r>
      <w:bookmarkEnd w:id="17"/>
    </w:p>
    <w:p w14:paraId="0B966B5C">
      <w:r>
        <w:rPr>
          <w:rFonts w:hint="eastAsia"/>
        </w:rPr>
        <w:t>将数据交换类应用一方面要要实现将相关信息通过安全的接入方式采集到接入平台，另一方面要将采集到数据安全、稳定、可靠地交换到目标区域，以支撑内外网业务的开展。需实现如下功能：需支持各类B/S 应用的数据采集；需支持各类C/S 应用的数据采集；数据库同步、交换（包括异构数据库同步、交换）；文件数据交换。</w:t>
      </w:r>
    </w:p>
    <w:p w14:paraId="24A16BB6">
      <w:pPr>
        <w:pStyle w:val="7"/>
      </w:pPr>
      <w:bookmarkStart w:id="18" w:name="_Toc8342"/>
      <w:r>
        <w:rPr>
          <w:rFonts w:hint="eastAsia"/>
        </w:rPr>
        <w:t>请求服务类</w:t>
      </w:r>
      <w:bookmarkEnd w:id="18"/>
    </w:p>
    <w:p w14:paraId="5FADDCF0">
      <w:r>
        <w:rPr>
          <w:rFonts w:hint="eastAsia"/>
        </w:rPr>
        <w:t>特指外部的业务应用系统与内网业务系统之间，可以通过跨网络请求服务方式实现对接，必须采用标准消息格式和传输协议封装数据服务，实现数据查询服务、核查服务、批量对比服务、数据交换服务。</w:t>
      </w:r>
    </w:p>
    <w:p w14:paraId="2C01C964">
      <w:pPr>
        <w:pStyle w:val="7"/>
      </w:pPr>
      <w:bookmarkStart w:id="19" w:name="_Toc30497"/>
      <w:r>
        <w:rPr>
          <w:rFonts w:hint="eastAsia"/>
        </w:rPr>
        <w:t>授权访问类</w:t>
      </w:r>
      <w:bookmarkEnd w:id="19"/>
    </w:p>
    <w:p w14:paraId="5B97D1E0">
      <w:r>
        <w:rPr>
          <w:rFonts w:hint="eastAsia"/>
        </w:rPr>
        <w:t>授权访问功能主要是指对于授权访问类终端通过安全接入链路访问内网资源时，对于不同的接入终端可实现基于资源、数字证书、IP 地址等多种类型访问权限的控制，保证内网资源不被越权访问，进而保护检察工作网业务的安全。</w:t>
      </w:r>
    </w:p>
    <w:p w14:paraId="6A5B6254">
      <w:pPr>
        <w:pStyle w:val="7"/>
      </w:pPr>
      <w:bookmarkStart w:id="20" w:name="_Toc30072"/>
      <w:r>
        <w:rPr>
          <w:rFonts w:hint="eastAsia"/>
        </w:rPr>
        <w:t>安全需求</w:t>
      </w:r>
      <w:bookmarkEnd w:id="20"/>
    </w:p>
    <w:p w14:paraId="4ED81631">
      <w:r>
        <w:rPr>
          <w:rFonts w:hint="eastAsia"/>
        </w:rPr>
        <w:t>边界安全接入平台作为检察工作网边界接入统一的出入口，是检察工作网与外界各类接入业务的交通要道。在安全上存在各类风险，涉及接入终端、接入用户、外部/内部链路、网络层、信息传输、应用安全及平台主机等。</w:t>
      </w:r>
    </w:p>
    <w:p w14:paraId="505E0932">
      <w:pPr>
        <w:pStyle w:val="5"/>
        <w:bidi w:val="0"/>
      </w:pPr>
      <w:bookmarkStart w:id="21" w:name="_Toc17601"/>
      <w:r>
        <w:rPr>
          <w:rFonts w:hint="eastAsia"/>
          <w:lang w:val="en-US" w:eastAsia="zh-CN"/>
        </w:rPr>
        <w:t>系统建设内容</w:t>
      </w:r>
      <w:bookmarkEnd w:id="21"/>
    </w:p>
    <w:p w14:paraId="757766BD">
      <w:pPr>
        <w:pStyle w:val="6"/>
      </w:pPr>
      <w:bookmarkStart w:id="22" w:name="_Toc18286"/>
      <w:r>
        <w:rPr>
          <w:rFonts w:hint="eastAsia"/>
        </w:rPr>
        <w:t>系统总体架构</w:t>
      </w:r>
      <w:bookmarkEnd w:id="22"/>
    </w:p>
    <w:p w14:paraId="7E12EF04">
      <w:r>
        <w:rPr>
          <w:rFonts w:hint="eastAsia"/>
        </w:rPr>
        <w:t>边界安全接入平台是检察工作网与外部网络进行数据交换的统一通道，通过该平台实现检察工作网与外部专网、互联网、移动专网等外部网络之间的数据安全交换。</w:t>
      </w:r>
    </w:p>
    <w:p w14:paraId="1456E502">
      <w:r>
        <w:rPr>
          <w:rFonts w:hint="eastAsia"/>
        </w:rPr>
        <w:t>边界安全接入平台在地市级检察院进行建设，基层检察院不再建设。各级接入平台负责本级管理范围内的所有边界接入业务。</w:t>
      </w:r>
    </w:p>
    <w:p w14:paraId="7E089B0C">
      <w:pPr>
        <w:ind w:firstLine="0" w:firstLineChars="0"/>
        <w:jc w:val="center"/>
      </w:pPr>
      <w:r>
        <w:drawing>
          <wp:inline distT="0" distB="0" distL="114300" distR="114300">
            <wp:extent cx="5459730" cy="6809740"/>
            <wp:effectExtent l="0" t="0" r="1270" b="1016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8"/>
                    <a:stretch>
                      <a:fillRect/>
                    </a:stretch>
                  </pic:blipFill>
                  <pic:spPr>
                    <a:xfrm>
                      <a:off x="0" y="0"/>
                      <a:ext cx="5459730" cy="6809740"/>
                    </a:xfrm>
                    <a:prstGeom prst="rect">
                      <a:avLst/>
                    </a:prstGeom>
                    <a:noFill/>
                    <a:ln>
                      <a:noFill/>
                    </a:ln>
                  </pic:spPr>
                </pic:pic>
              </a:graphicData>
            </a:graphic>
          </wp:inline>
        </w:drawing>
      </w:r>
    </w:p>
    <w:p w14:paraId="39C42707">
      <w:pPr>
        <w:pStyle w:val="6"/>
      </w:pPr>
      <w:bookmarkStart w:id="23" w:name="_Toc16253"/>
      <w:r>
        <w:rPr>
          <w:rFonts w:hint="eastAsia"/>
        </w:rPr>
        <w:t>总体建设内容</w:t>
      </w:r>
      <w:bookmarkEnd w:id="23"/>
    </w:p>
    <w:p w14:paraId="2C5CF078">
      <w:r>
        <w:rPr>
          <w:rFonts w:hint="eastAsia"/>
        </w:rPr>
        <w:t>检察工作网边界安全接入平台是检察工作网与外部网络进行数据交换的统一通道，通过该平台实现检察工作网与外部专网、互联网等外部网络之间的数据安全交换。项目中，接入平台可划分为边界保护区、安全监测区、安全隔离区。对不同网络安全域提出如下技术要求：</w:t>
      </w:r>
    </w:p>
    <w:p w14:paraId="32986F66">
      <w:pPr>
        <w:ind w:firstLine="643"/>
        <w:rPr>
          <w:b/>
          <w:bCs/>
        </w:rPr>
      </w:pPr>
      <w:r>
        <w:rPr>
          <w:rFonts w:hint="eastAsia"/>
          <w:b/>
          <w:bCs/>
        </w:rPr>
        <w:t>（1）边界保护区</w:t>
      </w:r>
    </w:p>
    <w:p w14:paraId="3ED5ABA8">
      <w:r>
        <w:rPr>
          <w:rFonts w:hint="eastAsia"/>
        </w:rPr>
        <w:t>采部署国产化防火墙负责实现检察工作网边界安全接入平台安全防护区的访问控制策略,设置访问控制规则，保证跨越边界的访问和数据流通过边界设备提供的受控接口进行通信，对关键节点实现恶意代码进行检测和清除。</w:t>
      </w:r>
    </w:p>
    <w:p w14:paraId="2ABD183E">
      <w:pPr>
        <w:ind w:firstLine="643"/>
        <w:rPr>
          <w:b/>
          <w:bCs/>
        </w:rPr>
      </w:pPr>
      <w:r>
        <w:rPr>
          <w:rFonts w:hint="eastAsia"/>
          <w:b/>
          <w:bCs/>
        </w:rPr>
        <w:t>（2）安全监测区</w:t>
      </w:r>
    </w:p>
    <w:p w14:paraId="2BA597A4">
      <w:r>
        <w:rPr>
          <w:rFonts w:hint="eastAsia"/>
        </w:rPr>
        <w:t>部署网络准入系统、日志审计和网络数据防泄漏设备。作为数据中心的集中安全监测区域，提供日志审计、网络数据防泄漏、恶意代码防范等安全服务，并实现工作网的安全管理。</w:t>
      </w:r>
    </w:p>
    <w:p w14:paraId="61D8334E">
      <w:pPr>
        <w:ind w:firstLine="643"/>
        <w:rPr>
          <w:b/>
          <w:bCs/>
        </w:rPr>
      </w:pPr>
      <w:r>
        <w:rPr>
          <w:rFonts w:hint="eastAsia"/>
          <w:b/>
          <w:bCs/>
        </w:rPr>
        <w:t>（3）安全隔离区</w:t>
      </w:r>
    </w:p>
    <w:p w14:paraId="340989D5">
      <w:r>
        <w:rPr>
          <w:rFonts w:hint="eastAsia"/>
        </w:rPr>
        <w:t>安全隔离交换区域部署单向光闸、双向网闸、数据交换平台，用于外部专网与工作网间实现安全隔离，保证可靠、安全的的信息交换，提供安全浏览、数据库访问、文件交换、数据库同步、视频应用等多种服务。</w:t>
      </w:r>
    </w:p>
    <w:p w14:paraId="4293AC5D">
      <w:pPr>
        <w:pStyle w:val="6"/>
      </w:pPr>
      <w:bookmarkStart w:id="24" w:name="_Toc8700"/>
      <w:r>
        <w:rPr>
          <w:rFonts w:hint="eastAsia"/>
        </w:rPr>
        <w:t>边界安全接入平台技术框架</w:t>
      </w:r>
      <w:bookmarkEnd w:id="24"/>
    </w:p>
    <w:p w14:paraId="36484686">
      <w:r>
        <w:rPr>
          <w:rFonts w:hint="eastAsia"/>
        </w:rPr>
        <w:t>边界安全接入平台拓扑图如下所示：</w:t>
      </w:r>
    </w:p>
    <w:p w14:paraId="0DC65B40">
      <w:pPr>
        <w:ind w:firstLine="0" w:firstLineChars="0"/>
      </w:pPr>
      <w:r>
        <w:drawing>
          <wp:inline distT="0" distB="0" distL="114300" distR="114300">
            <wp:extent cx="5742305" cy="3318510"/>
            <wp:effectExtent l="0" t="0" r="10795" b="889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9"/>
                    <a:stretch>
                      <a:fillRect/>
                    </a:stretch>
                  </pic:blipFill>
                  <pic:spPr>
                    <a:xfrm>
                      <a:off x="0" y="0"/>
                      <a:ext cx="5742305" cy="3318510"/>
                    </a:xfrm>
                    <a:prstGeom prst="rect">
                      <a:avLst/>
                    </a:prstGeom>
                    <a:noFill/>
                    <a:ln>
                      <a:noFill/>
                    </a:ln>
                  </pic:spPr>
                </pic:pic>
              </a:graphicData>
            </a:graphic>
          </wp:inline>
        </w:drawing>
      </w:r>
    </w:p>
    <w:p w14:paraId="0DA74E31">
      <w:pPr>
        <w:ind w:firstLine="0" w:firstLineChars="0"/>
        <w:jc w:val="center"/>
      </w:pPr>
      <w:r>
        <w:rPr>
          <w:rFonts w:hint="eastAsia"/>
        </w:rPr>
        <w:t>边界安全接入平台拓扑图</w:t>
      </w:r>
    </w:p>
    <w:p w14:paraId="666F5A28">
      <w:r>
        <w:rPr>
          <w:rFonts w:hint="eastAsia"/>
        </w:rPr>
        <w:t>1、边界安全接入平台是《检察工作网安全保障系统建设指导意见》(高检技[2018]62号)中跨网交换区的具体建设要求，应统一使用检察工作网安全保障系统中的网络信任基础设施区和安全管理区进行数字证书签发、安全管理等工作。</w:t>
      </w:r>
    </w:p>
    <w:p w14:paraId="58E29EC0">
      <w:r>
        <w:rPr>
          <w:rFonts w:hint="eastAsia"/>
        </w:rPr>
        <w:t>2、边界安全接入平台中的外部专网、互联网、移动专网接入可统一建设或者在统一规划的基础上按需分步建设。</w:t>
      </w:r>
    </w:p>
    <w:p w14:paraId="08F10D03">
      <w:r>
        <w:rPr>
          <w:rFonts w:hint="eastAsia"/>
        </w:rPr>
        <w:t>3、市级院建设接入平台按上图进行建设。</w:t>
      </w:r>
    </w:p>
    <w:p w14:paraId="228CD6BA">
      <w:pPr>
        <w:pStyle w:val="6"/>
      </w:pPr>
      <w:bookmarkStart w:id="25" w:name="_Toc31142"/>
      <w:r>
        <w:rPr>
          <w:rFonts w:hint="eastAsia"/>
        </w:rPr>
        <w:t>网络安全技术建设方案</w:t>
      </w:r>
      <w:bookmarkEnd w:id="25"/>
    </w:p>
    <w:p w14:paraId="10165E9C">
      <w:pPr>
        <w:pStyle w:val="7"/>
      </w:pPr>
      <w:bookmarkStart w:id="26" w:name="_Toc6053"/>
      <w:r>
        <w:rPr>
          <w:rFonts w:hint="eastAsia"/>
        </w:rPr>
        <w:t>安全区域划分</w:t>
      </w:r>
      <w:bookmarkEnd w:id="26"/>
    </w:p>
    <w:p w14:paraId="453853A0">
      <w:r>
        <w:rPr>
          <w:rFonts w:hint="eastAsia"/>
        </w:rPr>
        <w:t>接入平台可划分为安全管理区、安全防护区、安全检测区、安全隔离交换区。其中：</w:t>
      </w:r>
    </w:p>
    <w:p w14:paraId="1CECE982">
      <w:r>
        <w:rPr>
          <w:rFonts w:hint="eastAsia"/>
        </w:rPr>
        <w:t>1、安全管理区：实现对接入平台的统一集中监控与审计。</w:t>
      </w:r>
    </w:p>
    <w:p w14:paraId="47C6E589">
      <w:r>
        <w:rPr>
          <w:rFonts w:hint="eastAsia"/>
        </w:rPr>
        <w:t>2、安全防护区：实现接入平台与外部网络的网络隔离与防护。</w:t>
      </w:r>
    </w:p>
    <w:p w14:paraId="34609349">
      <w:r>
        <w:rPr>
          <w:rFonts w:hint="eastAsia"/>
        </w:rPr>
        <w:t>3、安全检测区：实现对接入平台的综合安全检测和日志采集。</w:t>
      </w:r>
    </w:p>
    <w:p w14:paraId="77FF1B2D">
      <w:r>
        <w:rPr>
          <w:rFonts w:hint="eastAsia"/>
        </w:rPr>
        <w:t>4、安全隔离交换区：实现外部网络对文件、数据库、音视频等数据的交换服务。</w:t>
      </w:r>
    </w:p>
    <w:p w14:paraId="10C28E61">
      <w:pPr>
        <w:pStyle w:val="8"/>
      </w:pPr>
      <w:r>
        <w:rPr>
          <w:rFonts w:hint="eastAsia"/>
        </w:rPr>
        <w:t>安全管理区</w:t>
      </w:r>
    </w:p>
    <w:p w14:paraId="12DCCAA0">
      <w:r>
        <w:rPr>
          <w:rFonts w:hint="eastAsia"/>
        </w:rPr>
        <w:t>该区域实现检察工作网中管理用户对接入平台进行运行状态监控、业务配置管理与集中日志审计。</w:t>
      </w:r>
    </w:p>
    <w:p w14:paraId="3B56161F">
      <w:r>
        <w:rPr>
          <w:rFonts w:hint="eastAsia"/>
        </w:rPr>
        <w:t>1、运行监控</w:t>
      </w:r>
    </w:p>
    <w:p w14:paraId="709B6D5D">
      <w:r>
        <w:rPr>
          <w:rFonts w:hint="eastAsia"/>
        </w:rPr>
        <w:t>实时监控接入平台的运行状况，实现对安全事件信息的查询和统计、预警，及时生成报表。</w:t>
      </w:r>
    </w:p>
    <w:p w14:paraId="15BF7B47">
      <w:r>
        <w:rPr>
          <w:rFonts w:hint="eastAsia"/>
        </w:rPr>
        <w:t>2、业务配置管理</w:t>
      </w:r>
    </w:p>
    <w:p w14:paraId="6DE91B3F">
      <w:r>
        <w:rPr>
          <w:rFonts w:hint="eastAsia"/>
        </w:rPr>
        <w:t>对接入平台内各个安全设备的配置信息进行集中管控。</w:t>
      </w:r>
    </w:p>
    <w:p w14:paraId="22C73287">
      <w:r>
        <w:rPr>
          <w:rFonts w:hint="eastAsia"/>
        </w:rPr>
        <w:t>3、安全审计</w:t>
      </w:r>
    </w:p>
    <w:p w14:paraId="4EEA3B96">
      <w:r>
        <w:rPr>
          <w:rFonts w:hint="eastAsia"/>
        </w:rPr>
        <w:t>实现对网络、用户、业务应用系统、设备等的集中安全审计功能，以及对异常事件的追踪回溯。</w:t>
      </w:r>
    </w:p>
    <w:p w14:paraId="0AFCBB78">
      <w:pPr>
        <w:pStyle w:val="8"/>
      </w:pPr>
      <w:r>
        <w:rPr>
          <w:rFonts w:hint="eastAsia"/>
        </w:rPr>
        <w:t>安全防护区</w:t>
      </w:r>
    </w:p>
    <w:p w14:paraId="1CB09322">
      <w:r>
        <w:rPr>
          <w:rFonts w:hint="eastAsia"/>
        </w:rPr>
        <w:t>该区域实现对接入平台的边界保护。</w:t>
      </w:r>
    </w:p>
    <w:p w14:paraId="3D093D18">
      <w:r>
        <w:rPr>
          <w:rFonts w:hint="eastAsia"/>
        </w:rPr>
        <w:t>该区域主要安全功能为：对接入设备实行准入控制;实现网络层安全访问控制、网络入侵防护、网络恶意代码防护、数据加密等。</w:t>
      </w:r>
    </w:p>
    <w:p w14:paraId="26798EF9">
      <w:pPr>
        <w:pStyle w:val="8"/>
      </w:pPr>
      <w:r>
        <w:rPr>
          <w:rFonts w:hint="eastAsia"/>
        </w:rPr>
        <w:t>安全检测区</w:t>
      </w:r>
    </w:p>
    <w:p w14:paraId="206EA45A">
      <w:r>
        <w:rPr>
          <w:rFonts w:hint="eastAsia"/>
        </w:rPr>
        <w:t>该区域采用物理机或虚拟化以旁路部署方式，实现对接入平台的日志采集与网络安全检测。</w:t>
      </w:r>
    </w:p>
    <w:p w14:paraId="4FA3C585">
      <w:r>
        <w:rPr>
          <w:rFonts w:hint="eastAsia"/>
        </w:rPr>
        <w:t>该区域主要安全功能为：基于网络流量，识别、发现网络中已知和未知威胁，防止数据泄露，发生数据泄露事件时，可以定位数据泄露的源头;采集接入平台中的所有设备日志信息，统一发送至安全管理区。</w:t>
      </w:r>
    </w:p>
    <w:p w14:paraId="58DD5B54">
      <w:pPr>
        <w:pStyle w:val="8"/>
      </w:pPr>
      <w:r>
        <w:rPr>
          <w:rFonts w:hint="eastAsia"/>
        </w:rPr>
        <w:t>安全隔离交换区</w:t>
      </w:r>
    </w:p>
    <w:p w14:paraId="3F058174">
      <w:r>
        <w:rPr>
          <w:rFonts w:hint="eastAsia"/>
        </w:rPr>
        <w:t>该区域实现外部网络对文件、数据库、音视频等数据的交换服务。该区域采用物理机或虚拟化部署两种方式，可以通过负载均衡和集群扩展的形式，确保服务的高可用性。</w:t>
      </w:r>
    </w:p>
    <w:p w14:paraId="5144141C">
      <w:r>
        <w:rPr>
          <w:rFonts w:hint="eastAsia"/>
        </w:rPr>
        <w:t>主要部署以下安全措施：</w:t>
      </w:r>
    </w:p>
    <w:p w14:paraId="3BC44F43">
      <w:r>
        <w:rPr>
          <w:rFonts w:hint="eastAsia"/>
        </w:rPr>
        <w:t>1、数据交换服务：部署数据交换服务系统，包括前置和后置服务，满足数据库、文件、音视频等资源交换。具体功能要求如下:</w:t>
      </w:r>
    </w:p>
    <w:p w14:paraId="7521960D">
      <w:r>
        <w:rPr>
          <w:rFonts w:hint="eastAsia"/>
        </w:rPr>
        <w:t>（1）API接口：支持API接口形式对外提供安全数据交换服务；</w:t>
      </w:r>
    </w:p>
    <w:p w14:paraId="24867353">
      <w:r>
        <w:rPr>
          <w:rFonts w:hint="eastAsia"/>
        </w:rPr>
        <w:t>（2）文件交换：支持NFS、SMB、FTP 等多种文件传输协议，实现文件的安全交换；</w:t>
      </w:r>
    </w:p>
    <w:p w14:paraId="550301B4">
      <w:r>
        <w:rPr>
          <w:rFonts w:hint="eastAsia"/>
        </w:rPr>
        <w:t>（3）视频交换：支持符合国家标准的实时音视频协议传输；</w:t>
      </w:r>
    </w:p>
    <w:p w14:paraId="6F654C53">
      <w:r>
        <w:rPr>
          <w:rFonts w:hint="eastAsia"/>
        </w:rPr>
        <w:t>（4）数据库同步：支持主流数据库的同步，支持异构数据库同步；</w:t>
      </w:r>
    </w:p>
    <w:p w14:paraId="1C2E089C">
      <w:r>
        <w:rPr>
          <w:rFonts w:hint="eastAsia"/>
        </w:rPr>
        <w:t>（5）执行预定义的访问控制策略；支持对传输数据类型检查及过滤；支持对数据内容进行识别和过滤；支持执行预定义的黑白名单策略；支持对交换的数据进行一致性和完整性校验；</w:t>
      </w:r>
    </w:p>
    <w:p w14:paraId="2D0D1746">
      <w:r>
        <w:rPr>
          <w:rFonts w:hint="eastAsia"/>
        </w:rPr>
        <w:t>（6）流量管控：应支持对应用请求信息进行流量控制，支持基于请求内容大小、请求速度、请求连接数和访问时段等参数进行流量控制。</w:t>
      </w:r>
    </w:p>
    <w:p w14:paraId="6A42A0A9">
      <w:r>
        <w:rPr>
          <w:rFonts w:hint="eastAsia"/>
        </w:rPr>
        <w:t>2、安全隔离交换系统：部署安全隔离交换系统，阻断外部网络与检察工作网之间的所有直接网络连接，对网络协议进行剥离或转化，保证网络安全隔离与数据安全交换。支持不同网络之间的安全隔离；支持对网络流量的隔离和过滤防护，支持不同网络之间的单向及双向数据传输。</w:t>
      </w:r>
    </w:p>
    <w:p w14:paraId="191A5122">
      <w:pPr>
        <w:pStyle w:val="7"/>
      </w:pPr>
      <w:bookmarkStart w:id="27" w:name="_Toc10077"/>
      <w:r>
        <w:rPr>
          <w:rFonts w:hint="eastAsia"/>
        </w:rPr>
        <w:t>接入设备技术要求</w:t>
      </w:r>
      <w:bookmarkEnd w:id="27"/>
    </w:p>
    <w:p w14:paraId="21A741BF">
      <w:r>
        <w:rPr>
          <w:rFonts w:hint="eastAsia"/>
        </w:rPr>
        <w:t>接入设备包括外部专网接入设备、互联网接入设备和移动专网接入设备。</w:t>
      </w:r>
    </w:p>
    <w:p w14:paraId="2891FF4D">
      <w:r>
        <w:rPr>
          <w:rFonts w:hint="eastAsia"/>
        </w:rPr>
        <w:t>1、外部专网接入设备、互联网接入设备应通过 802.1x、设备证书、IP/MAC 绑定等技术实行准入控制；移动专网接入设备应采用数字证书、生物特征等双因子或多因子认证模式。</w:t>
      </w:r>
    </w:p>
    <w:p w14:paraId="03FBE852">
      <w:r>
        <w:rPr>
          <w:rFonts w:hint="eastAsia"/>
        </w:rPr>
        <w:t>2、应实现接入设备与接入平台通信内容的机密性与完整性保护。</w:t>
      </w:r>
    </w:p>
    <w:p w14:paraId="720C3FDE">
      <w:r>
        <w:rPr>
          <w:rFonts w:hint="eastAsia"/>
        </w:rPr>
        <w:t>3、接入设备上安装的接入业务应用程序应完善自身的安全性和健壮性。</w:t>
      </w:r>
    </w:p>
    <w:p w14:paraId="5AFB1CAF">
      <w:r>
        <w:rPr>
          <w:rFonts w:hint="eastAsia"/>
        </w:rPr>
        <w:t>4、接入设备安全环境应满足网络安全等级保护三级要求。</w:t>
      </w:r>
    </w:p>
    <w:p w14:paraId="6E885B49">
      <w:r>
        <w:rPr>
          <w:rFonts w:hint="eastAsia"/>
        </w:rPr>
        <w:t>5、移动专网接入设备应从终端应用、终端数据等方面进行安全增强，安装安全软件，支持国家商用密码加解密，并接受后台管控。</w:t>
      </w:r>
    </w:p>
    <w:p w14:paraId="0022E713">
      <w:r>
        <w:rPr>
          <w:rFonts w:hint="eastAsia"/>
        </w:rPr>
        <w:t>6、外部专网接入设备、移动专网接入设备不得与互联网应用在同一操作系统下混用，移动专网接入设备可探索采用单机双操作系统等方式实现与互联网应用在操作系统及以上级别的隔离。</w:t>
      </w:r>
    </w:p>
    <w:p w14:paraId="56077893"/>
    <w:p w14:paraId="77A993D7">
      <w:pPr>
        <w:pStyle w:val="7"/>
      </w:pPr>
      <w:bookmarkStart w:id="28" w:name="_Toc28936"/>
      <w:r>
        <w:rPr>
          <w:rFonts w:hint="eastAsia"/>
        </w:rPr>
        <w:t>数据交换服务流程</w:t>
      </w:r>
      <w:bookmarkEnd w:id="28"/>
    </w:p>
    <w:p w14:paraId="3F9991AC">
      <w:r>
        <w:rPr>
          <w:rFonts w:hint="eastAsia"/>
        </w:rPr>
        <w:t>数据交换业务在经过安全防护区的安全防护措施之后，完成设备准入控制，并通过数据交换服务的前后置系统、安全隔离与交换系统与检察工作网完成数据交换。</w:t>
      </w:r>
    </w:p>
    <w:p w14:paraId="017642FD">
      <w:r>
        <w:rPr>
          <w:rFonts w:hint="eastAsia"/>
        </w:rPr>
        <w:t>数据交换时应采用细粒度、最小化授权原则进行访问控制，非授权的访问应被阻断。</w:t>
      </w:r>
    </w:p>
    <w:p w14:paraId="30F48CAC">
      <w:pPr>
        <w:pStyle w:val="7"/>
      </w:pPr>
      <w:bookmarkStart w:id="29" w:name="_Toc18369"/>
      <w:r>
        <w:rPr>
          <w:rFonts w:hint="eastAsia"/>
        </w:rPr>
        <w:t>接入平台性能要求</w:t>
      </w:r>
      <w:bookmarkEnd w:id="29"/>
    </w:p>
    <w:p w14:paraId="30C57522">
      <w:r>
        <w:rPr>
          <w:rFonts w:hint="eastAsia"/>
        </w:rPr>
        <w:t>接入平台的性能应与数据交换的需求相匹配，满足业务应用的需要，并根据业务应用的发展变化对接入平台实施升级改造。</w:t>
      </w:r>
    </w:p>
    <w:p w14:paraId="222B65BE">
      <w:pPr>
        <w:pStyle w:val="6"/>
      </w:pPr>
      <w:bookmarkStart w:id="30" w:name="_Toc3542"/>
      <w:r>
        <w:rPr>
          <w:rFonts w:hint="eastAsia"/>
        </w:rPr>
        <w:t>边界安全接入平台安全管理要求</w:t>
      </w:r>
      <w:bookmarkEnd w:id="30"/>
    </w:p>
    <w:p w14:paraId="75EAF7AF">
      <w:pPr>
        <w:pStyle w:val="7"/>
      </w:pPr>
      <w:bookmarkStart w:id="31" w:name="_Toc27785"/>
      <w:r>
        <w:rPr>
          <w:rFonts w:hint="eastAsia"/>
        </w:rPr>
        <w:t>建设管理要求</w:t>
      </w:r>
      <w:bookmarkEnd w:id="31"/>
    </w:p>
    <w:p w14:paraId="522CEBF9">
      <w:pPr>
        <w:pStyle w:val="8"/>
      </w:pPr>
      <w:r>
        <w:rPr>
          <w:rFonts w:hint="eastAsia"/>
        </w:rPr>
        <w:t>审批备案要求</w:t>
      </w:r>
    </w:p>
    <w:p w14:paraId="20658733">
      <w:r>
        <w:rPr>
          <w:rFonts w:hint="eastAsia"/>
        </w:rPr>
        <w:t>省级院、地市级院的接入平台建设方案应报高检院备案。地市级院接入平台建设方案应报省级院审批。</w:t>
      </w:r>
    </w:p>
    <w:p w14:paraId="72007DE6">
      <w:r>
        <w:rPr>
          <w:rFonts w:hint="eastAsia"/>
        </w:rPr>
        <w:t>审批或备案时，建设接入平台的单位应填报《接入平台建设审批/备案表》，同时提交接入平台的技术方案和实施方案等材料。</w:t>
      </w:r>
    </w:p>
    <w:p w14:paraId="17EAE09C">
      <w:r>
        <w:rPr>
          <w:rFonts w:hint="eastAsia"/>
        </w:rPr>
        <w:t>接入平台发生重大变化时，应重新进行审批或备案</w:t>
      </w:r>
    </w:p>
    <w:p w14:paraId="28B7847C">
      <w:pPr>
        <w:pStyle w:val="8"/>
      </w:pPr>
      <w:r>
        <w:rPr>
          <w:rFonts w:hint="eastAsia"/>
        </w:rPr>
        <w:t>安全性测评要求</w:t>
      </w:r>
    </w:p>
    <w:p w14:paraId="23624B49">
      <w:r>
        <w:rPr>
          <w:rFonts w:hint="eastAsia"/>
        </w:rPr>
        <w:t>接入平台应按照网络安全等级保护三级的要求进行建设。</w:t>
      </w:r>
    </w:p>
    <w:p w14:paraId="0CEEF8E1">
      <w:r>
        <w:rPr>
          <w:rFonts w:hint="eastAsia"/>
        </w:rPr>
        <w:t>建成后的接入平台应通过网络安全等级保护测评，由第三方测评机构出具正式测评报告。</w:t>
      </w:r>
    </w:p>
    <w:p w14:paraId="46CE7C8C">
      <w:r>
        <w:rPr>
          <w:rFonts w:hint="eastAsia"/>
        </w:rPr>
        <w:t>接入平台可以单独测评，也可以在对检察工作网开展网络安全等级保护测评时将其一并纳入。</w:t>
      </w:r>
    </w:p>
    <w:p w14:paraId="7A8CD229">
      <w:pPr>
        <w:pStyle w:val="7"/>
      </w:pPr>
      <w:bookmarkStart w:id="32" w:name="_Toc20113"/>
      <w:r>
        <w:rPr>
          <w:rFonts w:hint="eastAsia"/>
        </w:rPr>
        <w:t>接入业务管理要求</w:t>
      </w:r>
      <w:bookmarkEnd w:id="32"/>
    </w:p>
    <w:p w14:paraId="07675DCB">
      <w:r>
        <w:rPr>
          <w:rFonts w:hint="eastAsia"/>
        </w:rPr>
        <w:t>经接入业务的主管部门审批后，由本级院信息化主管部门负责核实接入业务信息，制定技术方案实施接入并纳入日常运行监控管理。</w:t>
      </w:r>
    </w:p>
    <w:p w14:paraId="2385E1A1">
      <w:r>
        <w:rPr>
          <w:rFonts w:hint="eastAsia"/>
        </w:rPr>
        <w:t>接入业务通过审批后，本级院信息化主管部门应填报《接入业务信息备案表》，层报上级院信息化主管部门备案。</w:t>
      </w:r>
    </w:p>
    <w:p w14:paraId="622DAFC2">
      <w:r>
        <w:rPr>
          <w:rFonts w:hint="eastAsia"/>
        </w:rPr>
        <w:t>接入业务投入运行后，其业务内容应与备案信息一致。接入业务内容、方式、范围等发生变化时，应重新备案。</w:t>
      </w:r>
    </w:p>
    <w:p w14:paraId="0DBC9041">
      <w:pPr>
        <w:pStyle w:val="7"/>
      </w:pPr>
      <w:bookmarkStart w:id="33" w:name="_Toc15172"/>
      <w:r>
        <w:rPr>
          <w:rFonts w:hint="eastAsia"/>
        </w:rPr>
        <w:t>运维管理</w:t>
      </w:r>
      <w:bookmarkEnd w:id="33"/>
    </w:p>
    <w:p w14:paraId="15F6BADF">
      <w:r>
        <w:rPr>
          <w:rFonts w:hint="eastAsia"/>
        </w:rPr>
        <w:t>本级院信息化主管部门负责本级接入平台的日常运行维护安全监测、应急响应等工作，纳入检察工作网安全保障系统统-运维，接入平台设备不得交与其他单位托管。</w:t>
      </w:r>
    </w:p>
    <w:p w14:paraId="356BCBC3">
      <w:r>
        <w:rPr>
          <w:rFonts w:hint="eastAsia"/>
        </w:rPr>
        <w:t>应建立安全事件紧急响应和处置工作机制，发生重大安全事件时应第一时间逐级上报，处置完成后应将处置情况逐级书面上报。可不定期请第三方机构进行渗透性测试，验证接入平台的安全性。</w:t>
      </w:r>
    </w:p>
    <w:p w14:paraId="0374CE03">
      <w:pPr>
        <w:pStyle w:val="7"/>
      </w:pPr>
      <w:bookmarkStart w:id="34" w:name="_Toc21817"/>
      <w:r>
        <w:rPr>
          <w:rFonts w:hint="eastAsia"/>
        </w:rPr>
        <w:t>接入平台管理报表</w:t>
      </w:r>
      <w:bookmarkEnd w:id="34"/>
    </w:p>
    <w:p w14:paraId="330FF839">
      <w:r>
        <w:rPr>
          <w:rFonts w:hint="eastAsia"/>
        </w:rPr>
        <w:t>本节对需要审批和备案的信息内容进行规范，包括《接入平台建设审批/备案表》和《接入业务信息备案表》。</w:t>
      </w:r>
    </w:p>
    <w:p w14:paraId="06B25FDA">
      <w:pPr>
        <w:pStyle w:val="6"/>
      </w:pPr>
      <w:bookmarkStart w:id="35" w:name="_Toc24032"/>
      <w:r>
        <w:rPr>
          <w:rFonts w:hint="eastAsia"/>
        </w:rPr>
        <w:t>选型原则</w:t>
      </w:r>
      <w:bookmarkEnd w:id="35"/>
    </w:p>
    <w:p w14:paraId="0413EA11">
      <w:r>
        <w:rPr>
          <w:rFonts w:hint="eastAsia"/>
        </w:rPr>
        <w:t>国产化：</w:t>
      </w:r>
      <w:r>
        <w:t>本项目设备均采用国产设备。</w:t>
      </w:r>
    </w:p>
    <w:p w14:paraId="0B0746AD">
      <w:r>
        <w:rPr>
          <w:rFonts w:hint="eastAsia"/>
        </w:rPr>
        <w:t>标准性：</w:t>
      </w:r>
      <w:r>
        <w:t>系统设计开发遵循国家标准、信息产业部有关软件行业的通用规范、通用的国际规范及各子系统间接口标准，保证各个模块之间可以无缝集成，并对外提供标准接口。</w:t>
      </w:r>
    </w:p>
    <w:p w14:paraId="312F0CAD">
      <w:r>
        <w:rPr>
          <w:rFonts w:hint="eastAsia"/>
        </w:rPr>
        <w:t>可扩展性：</w:t>
      </w:r>
      <w:r>
        <w:t>安全态势感知系统不仅要满足目前的要求，也要适应未来业务发展对提出的要求。平台设计要采用开放的技术，适应不断变化的数据采集范围和数据提供方式。</w:t>
      </w:r>
    </w:p>
    <w:p w14:paraId="75061AAB">
      <w:r>
        <w:rPr>
          <w:rFonts w:hint="eastAsia"/>
        </w:rPr>
        <w:t>稳定性：</w:t>
      </w:r>
      <w:r>
        <w:t>系统设计充分考虑到可能部署的软硬件平台、用户可能使用的各类终端、各种可能的用户操作，使用面向对象语言丰富的异常处理机制，保证系统实现7×24小时稳定运行。</w:t>
      </w:r>
    </w:p>
    <w:p w14:paraId="0639F973">
      <w:r>
        <w:rPr>
          <w:rFonts w:hint="eastAsia"/>
        </w:rPr>
        <w:t>易维护性：</w:t>
      </w:r>
      <w:r>
        <w:t>系统采用先进的B/S的开发和应用模式，客户机无需安装任何客户程序，用户对系统的维护仅在服务器上进行，大大降低了维护工作量。支撑平台要提供简单易用的图形管理界面，方便管理人员对平台进行日常配置、维护和管理。</w:t>
      </w:r>
    </w:p>
    <w:p w14:paraId="792376D5">
      <w:r>
        <w:rPr>
          <w:rFonts w:hint="eastAsia"/>
        </w:rPr>
        <w:t>安全性：</w:t>
      </w:r>
      <w:r>
        <w:t>从系统安全、信息存储安全、信息传输安全、认证和授权的安全等多个方面考虑整体的安全性，构筑全面的安全体系，避免任何安全薄弱环节影响系统的全局安全性。平台要结合现有的安全信任体系，对数据传输、管理、发布、使用等不同环节，设计由外到内、由局部到全面、多层次的、纵深的、有效地部署和配置全面安全解决方案，以达到最佳的安全互补状态，保证系统受到可靠、安全的保护。</w:t>
      </w:r>
    </w:p>
    <w:p w14:paraId="6092C336">
      <w:pPr>
        <w:pStyle w:val="6"/>
        <w:rPr>
          <w:lang w:eastAsia="zh-Hans"/>
        </w:rPr>
      </w:pPr>
      <w:bookmarkStart w:id="36" w:name="_Toc7240"/>
      <w:r>
        <w:rPr>
          <w:rFonts w:hint="eastAsia"/>
          <w:lang w:val="en-US" w:eastAsia="zh-CN"/>
        </w:rPr>
        <w:t>建设</w:t>
      </w:r>
      <w:r>
        <w:rPr>
          <w:rFonts w:hint="eastAsia"/>
          <w:lang w:eastAsia="zh-Hans"/>
        </w:rPr>
        <w:t>清单</w:t>
      </w:r>
      <w:bookmarkEnd w:id="36"/>
    </w:p>
    <w:p w14:paraId="7957D5F1">
      <w:r>
        <w:rPr>
          <w:rFonts w:hint="eastAsia"/>
        </w:rPr>
        <w:t>在规划、建设、使用、维护整个信息系统的过程中，本方案将主要遵循统一规划、分步实施、立足现状、节省投资、科学规范、严格管理的原则进行安全体系的整体设计和实施，并充分考虑到先进性、现实性、持续性和可扩展性，符合等级保护要求，具体体现为：</w:t>
      </w:r>
    </w:p>
    <w:p w14:paraId="39B76AE6">
      <w:r>
        <w:t>1)</w:t>
      </w:r>
      <w:r>
        <w:tab/>
      </w:r>
      <w:r>
        <w:t>可控性：</w:t>
      </w:r>
    </w:p>
    <w:p w14:paraId="4C8CC635">
      <w:r>
        <w:rPr>
          <w:rFonts w:hint="eastAsia"/>
        </w:rPr>
        <w:t>采取相应的控制措施，保证检察工作网的边界可控，与其它网络、终端等链接和数据交换安全可控。</w:t>
      </w:r>
    </w:p>
    <w:p w14:paraId="4F9CB220">
      <w:r>
        <w:t>2)</w:t>
      </w:r>
      <w:r>
        <w:tab/>
      </w:r>
      <w:r>
        <w:t>可管理性</w:t>
      </w:r>
    </w:p>
    <w:p w14:paraId="496A4B6B">
      <w:r>
        <w:rPr>
          <w:rFonts w:hint="eastAsia"/>
        </w:rPr>
        <w:t>具有规范合理的检察工作网接入流程，针对检察工作网的用户、设备，具有相应的管理措施。</w:t>
      </w:r>
    </w:p>
    <w:p w14:paraId="0DDC20E4">
      <w:r>
        <w:t>3)</w:t>
      </w:r>
      <w:r>
        <w:tab/>
      </w:r>
      <w:r>
        <w:t>可用性</w:t>
      </w:r>
    </w:p>
    <w:p w14:paraId="50E67636">
      <w:r>
        <w:rPr>
          <w:rFonts w:hint="eastAsia"/>
        </w:rPr>
        <w:t>应能满足市人民检察院的实际业务需求，技术方案具有可行性，安全管理措施具有可操作性。</w:t>
      </w:r>
    </w:p>
    <w:p w14:paraId="3451D5FA">
      <w:r>
        <w:t>4)</w:t>
      </w:r>
      <w:r>
        <w:tab/>
      </w:r>
      <w:r>
        <w:t>安全性</w:t>
      </w:r>
    </w:p>
    <w:p w14:paraId="428AA1ED">
      <w:r>
        <w:rPr>
          <w:rFonts w:hint="eastAsia"/>
        </w:rPr>
        <w:t>应保证接入和数据交换的安全，对终端、网络具备相应的保证与防攻击措施，确保信息不被非法获取。</w:t>
      </w:r>
    </w:p>
    <w:p w14:paraId="5B72CD39">
      <w:r>
        <w:t>5)</w:t>
      </w:r>
      <w:r>
        <w:tab/>
      </w:r>
      <w:r>
        <w:t>规范性</w:t>
      </w:r>
    </w:p>
    <w:p w14:paraId="5E37F286">
      <w:r>
        <w:rPr>
          <w:rFonts w:hint="eastAsia"/>
        </w:rPr>
        <w:t>本次方案涉及的内容，应符合国家法律法规，以及相关政策，标准的规定。</w:t>
      </w:r>
    </w:p>
    <w:p w14:paraId="235FF152">
      <w:r>
        <w:rPr>
          <w:rFonts w:hint="eastAsia"/>
        </w:rPr>
        <w:t>具体如下表：</w:t>
      </w:r>
    </w:p>
    <w:tbl>
      <w:tblPr>
        <w:tblStyle w:val="26"/>
        <w:tblW w:w="71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1"/>
        <w:gridCol w:w="2459"/>
        <w:gridCol w:w="906"/>
        <w:gridCol w:w="1187"/>
        <w:gridCol w:w="1240"/>
      </w:tblGrid>
      <w:tr w14:paraId="1D08B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1" w:type="dxa"/>
            <w:shd w:val="clear" w:color="auto" w:fill="auto"/>
            <w:vAlign w:val="center"/>
          </w:tcPr>
          <w:p w14:paraId="32B9AD2F">
            <w:pPr>
              <w:ind w:firstLine="0" w:firstLineChars="0"/>
              <w:jc w:val="center"/>
              <w:rPr>
                <w:rFonts w:ascii="仿宋" w:hAnsi="仿宋" w:cs="仿宋"/>
                <w:b/>
                <w:bCs/>
                <w:sz w:val="28"/>
                <w:szCs w:val="28"/>
              </w:rPr>
            </w:pPr>
            <w:r>
              <w:rPr>
                <w:rFonts w:hint="eastAsia" w:ascii="仿宋" w:hAnsi="仿宋" w:cs="仿宋"/>
                <w:b/>
                <w:bCs/>
                <w:sz w:val="28"/>
                <w:szCs w:val="28"/>
              </w:rPr>
              <w:t>序号</w:t>
            </w:r>
          </w:p>
        </w:tc>
        <w:tc>
          <w:tcPr>
            <w:tcW w:w="2459" w:type="dxa"/>
            <w:shd w:val="clear" w:color="auto" w:fill="auto"/>
            <w:vAlign w:val="center"/>
          </w:tcPr>
          <w:p w14:paraId="1835A81D">
            <w:pPr>
              <w:ind w:firstLine="0" w:firstLineChars="0"/>
              <w:jc w:val="center"/>
              <w:rPr>
                <w:rFonts w:ascii="仿宋" w:hAnsi="仿宋" w:cs="仿宋"/>
                <w:b/>
                <w:bCs/>
                <w:sz w:val="28"/>
                <w:szCs w:val="28"/>
              </w:rPr>
            </w:pPr>
            <w:r>
              <w:rPr>
                <w:rFonts w:hint="eastAsia" w:ascii="仿宋" w:hAnsi="仿宋" w:cs="仿宋"/>
                <w:b/>
                <w:bCs/>
                <w:sz w:val="28"/>
                <w:szCs w:val="28"/>
              </w:rPr>
              <w:t>设备及软件名称</w:t>
            </w:r>
          </w:p>
        </w:tc>
        <w:tc>
          <w:tcPr>
            <w:tcW w:w="906" w:type="dxa"/>
            <w:shd w:val="clear" w:color="auto" w:fill="auto"/>
            <w:vAlign w:val="center"/>
          </w:tcPr>
          <w:p w14:paraId="5D7F1150">
            <w:pPr>
              <w:ind w:firstLine="0" w:firstLineChars="0"/>
              <w:jc w:val="center"/>
              <w:rPr>
                <w:rFonts w:ascii="仿宋" w:hAnsi="仿宋" w:cs="仿宋"/>
                <w:b/>
                <w:bCs/>
                <w:sz w:val="28"/>
                <w:szCs w:val="28"/>
              </w:rPr>
            </w:pPr>
            <w:r>
              <w:rPr>
                <w:rFonts w:hint="eastAsia" w:ascii="仿宋" w:hAnsi="仿宋" w:cs="仿宋"/>
                <w:b/>
                <w:bCs/>
                <w:sz w:val="28"/>
                <w:szCs w:val="28"/>
              </w:rPr>
              <w:t>数量</w:t>
            </w:r>
          </w:p>
        </w:tc>
        <w:tc>
          <w:tcPr>
            <w:tcW w:w="1187" w:type="dxa"/>
            <w:shd w:val="clear" w:color="auto" w:fill="auto"/>
            <w:vAlign w:val="center"/>
          </w:tcPr>
          <w:p w14:paraId="6EC80D6A">
            <w:pPr>
              <w:ind w:firstLine="0" w:firstLineChars="0"/>
              <w:jc w:val="center"/>
              <w:rPr>
                <w:rFonts w:ascii="仿宋" w:hAnsi="仿宋" w:cs="仿宋"/>
                <w:b/>
                <w:bCs/>
                <w:sz w:val="28"/>
                <w:szCs w:val="28"/>
              </w:rPr>
            </w:pPr>
            <w:r>
              <w:rPr>
                <w:rFonts w:hint="eastAsia" w:ascii="仿宋" w:hAnsi="仿宋" w:cs="仿宋"/>
                <w:b/>
                <w:bCs/>
                <w:sz w:val="28"/>
                <w:szCs w:val="28"/>
              </w:rPr>
              <w:t>单位</w:t>
            </w:r>
          </w:p>
        </w:tc>
        <w:tc>
          <w:tcPr>
            <w:tcW w:w="1240" w:type="dxa"/>
            <w:shd w:val="clear" w:color="auto" w:fill="auto"/>
            <w:vAlign w:val="center"/>
          </w:tcPr>
          <w:p w14:paraId="0BB7962B">
            <w:pPr>
              <w:ind w:firstLine="0" w:firstLineChars="0"/>
              <w:jc w:val="center"/>
              <w:rPr>
                <w:rFonts w:hint="eastAsia" w:ascii="仿宋" w:hAnsi="仿宋" w:eastAsia="仿宋" w:cs="仿宋"/>
                <w:b/>
                <w:bCs/>
                <w:sz w:val="28"/>
                <w:szCs w:val="28"/>
                <w:lang w:eastAsia="zh-CN"/>
              </w:rPr>
            </w:pPr>
            <w:r>
              <w:rPr>
                <w:rFonts w:hint="eastAsia" w:ascii="仿宋" w:hAnsi="仿宋" w:cs="仿宋"/>
                <w:b/>
                <w:bCs/>
                <w:sz w:val="28"/>
                <w:szCs w:val="28"/>
                <w:lang w:val="en-US" w:eastAsia="zh-CN"/>
              </w:rPr>
              <w:t>备注</w:t>
            </w:r>
          </w:p>
        </w:tc>
      </w:tr>
      <w:tr w14:paraId="45E63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1" w:type="dxa"/>
            <w:vAlign w:val="center"/>
          </w:tcPr>
          <w:p w14:paraId="716570BB">
            <w:pPr>
              <w:spacing w:line="288" w:lineRule="auto"/>
              <w:ind w:firstLine="0" w:firstLineChars="0"/>
              <w:jc w:val="center"/>
              <w:rPr>
                <w:rFonts w:ascii="仿宋" w:hAnsi="仿宋" w:cs="仿宋"/>
                <w:sz w:val="28"/>
                <w:szCs w:val="28"/>
              </w:rPr>
            </w:pPr>
            <w:r>
              <w:rPr>
                <w:rFonts w:hint="eastAsia" w:ascii="仿宋" w:hAnsi="仿宋" w:cs="仿宋"/>
                <w:sz w:val="28"/>
                <w:szCs w:val="28"/>
              </w:rPr>
              <w:t>1</w:t>
            </w:r>
          </w:p>
        </w:tc>
        <w:tc>
          <w:tcPr>
            <w:tcW w:w="2459" w:type="dxa"/>
            <w:vAlign w:val="center"/>
          </w:tcPr>
          <w:p w14:paraId="5BA2B10A">
            <w:pPr>
              <w:spacing w:line="288" w:lineRule="auto"/>
              <w:ind w:firstLine="0" w:firstLineChars="0"/>
              <w:jc w:val="center"/>
              <w:rPr>
                <w:rFonts w:ascii="仿宋" w:hAnsi="仿宋" w:cs="仿宋"/>
                <w:sz w:val="28"/>
                <w:szCs w:val="28"/>
              </w:rPr>
            </w:pPr>
            <w:r>
              <w:rPr>
                <w:rFonts w:hint="eastAsia" w:ascii="仿宋" w:hAnsi="仿宋" w:cs="仿宋"/>
                <w:sz w:val="28"/>
                <w:szCs w:val="28"/>
              </w:rPr>
              <w:t>接入交换机</w:t>
            </w:r>
          </w:p>
        </w:tc>
        <w:tc>
          <w:tcPr>
            <w:tcW w:w="906" w:type="dxa"/>
            <w:vAlign w:val="center"/>
          </w:tcPr>
          <w:p w14:paraId="0B6EB742">
            <w:pPr>
              <w:spacing w:line="288" w:lineRule="auto"/>
              <w:ind w:firstLine="0" w:firstLineChars="0"/>
              <w:jc w:val="center"/>
              <w:rPr>
                <w:rFonts w:ascii="仿宋" w:hAnsi="仿宋" w:cs="仿宋"/>
                <w:sz w:val="28"/>
                <w:szCs w:val="28"/>
              </w:rPr>
            </w:pPr>
            <w:r>
              <w:rPr>
                <w:rFonts w:hint="eastAsia" w:ascii="仿宋" w:hAnsi="仿宋" w:cs="仿宋"/>
                <w:sz w:val="28"/>
                <w:szCs w:val="28"/>
              </w:rPr>
              <w:t>3</w:t>
            </w:r>
          </w:p>
        </w:tc>
        <w:tc>
          <w:tcPr>
            <w:tcW w:w="1187" w:type="dxa"/>
            <w:vAlign w:val="center"/>
          </w:tcPr>
          <w:p w14:paraId="317924A9">
            <w:pPr>
              <w:spacing w:line="288" w:lineRule="auto"/>
              <w:ind w:firstLine="0" w:firstLineChars="0"/>
              <w:jc w:val="center"/>
              <w:rPr>
                <w:rFonts w:ascii="仿宋" w:hAnsi="仿宋" w:cs="仿宋"/>
                <w:sz w:val="28"/>
                <w:szCs w:val="28"/>
              </w:rPr>
            </w:pPr>
            <w:r>
              <w:rPr>
                <w:rFonts w:hint="eastAsia" w:ascii="仿宋" w:hAnsi="仿宋" w:cs="仿宋"/>
                <w:sz w:val="28"/>
                <w:szCs w:val="28"/>
              </w:rPr>
              <w:t>台</w:t>
            </w:r>
          </w:p>
        </w:tc>
        <w:tc>
          <w:tcPr>
            <w:tcW w:w="1240" w:type="dxa"/>
            <w:vAlign w:val="center"/>
          </w:tcPr>
          <w:p w14:paraId="0F803E64">
            <w:pPr>
              <w:spacing w:line="288" w:lineRule="auto"/>
              <w:ind w:firstLine="0" w:firstLineChars="0"/>
              <w:jc w:val="center"/>
              <w:rPr>
                <w:rFonts w:ascii="仿宋" w:hAnsi="仿宋" w:cs="仿宋"/>
                <w:sz w:val="28"/>
                <w:szCs w:val="28"/>
              </w:rPr>
            </w:pPr>
          </w:p>
        </w:tc>
      </w:tr>
      <w:tr w14:paraId="3789C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1" w:type="dxa"/>
            <w:vAlign w:val="center"/>
          </w:tcPr>
          <w:p w14:paraId="2B015924">
            <w:pPr>
              <w:spacing w:line="288" w:lineRule="auto"/>
              <w:ind w:firstLine="0" w:firstLineChars="0"/>
              <w:jc w:val="center"/>
              <w:rPr>
                <w:rFonts w:ascii="仿宋" w:hAnsi="仿宋" w:cs="仿宋"/>
                <w:sz w:val="28"/>
                <w:szCs w:val="28"/>
              </w:rPr>
            </w:pPr>
            <w:r>
              <w:rPr>
                <w:rFonts w:hint="eastAsia" w:ascii="仿宋" w:hAnsi="仿宋" w:cs="仿宋"/>
                <w:sz w:val="28"/>
                <w:szCs w:val="28"/>
              </w:rPr>
              <w:t>2</w:t>
            </w:r>
          </w:p>
        </w:tc>
        <w:tc>
          <w:tcPr>
            <w:tcW w:w="2459" w:type="dxa"/>
            <w:vAlign w:val="center"/>
          </w:tcPr>
          <w:p w14:paraId="6DC57A10">
            <w:pPr>
              <w:spacing w:line="288" w:lineRule="auto"/>
              <w:ind w:firstLine="0" w:firstLineChars="0"/>
              <w:jc w:val="center"/>
              <w:rPr>
                <w:rFonts w:ascii="仿宋" w:hAnsi="仿宋" w:cs="仿宋"/>
                <w:sz w:val="28"/>
                <w:szCs w:val="28"/>
              </w:rPr>
            </w:pPr>
            <w:r>
              <w:rPr>
                <w:rFonts w:hint="eastAsia" w:ascii="仿宋" w:hAnsi="仿宋" w:cs="仿宋"/>
                <w:sz w:val="28"/>
                <w:szCs w:val="28"/>
              </w:rPr>
              <w:t>数据安全交换系统</w:t>
            </w:r>
          </w:p>
        </w:tc>
        <w:tc>
          <w:tcPr>
            <w:tcW w:w="906" w:type="dxa"/>
            <w:vAlign w:val="center"/>
          </w:tcPr>
          <w:p w14:paraId="4BE8BCA9">
            <w:pPr>
              <w:spacing w:line="288" w:lineRule="auto"/>
              <w:ind w:firstLine="0" w:firstLineChars="0"/>
              <w:jc w:val="center"/>
              <w:rPr>
                <w:rFonts w:ascii="仿宋" w:hAnsi="仿宋" w:cs="仿宋"/>
                <w:sz w:val="28"/>
                <w:szCs w:val="28"/>
              </w:rPr>
            </w:pPr>
            <w:r>
              <w:rPr>
                <w:rFonts w:hint="eastAsia" w:ascii="仿宋" w:hAnsi="仿宋" w:cs="仿宋"/>
                <w:sz w:val="28"/>
                <w:szCs w:val="28"/>
              </w:rPr>
              <w:t>2</w:t>
            </w:r>
          </w:p>
        </w:tc>
        <w:tc>
          <w:tcPr>
            <w:tcW w:w="1187" w:type="dxa"/>
            <w:vAlign w:val="center"/>
          </w:tcPr>
          <w:p w14:paraId="3A9A7B2F">
            <w:pPr>
              <w:spacing w:line="288" w:lineRule="auto"/>
              <w:ind w:firstLine="0" w:firstLineChars="0"/>
              <w:jc w:val="center"/>
              <w:rPr>
                <w:rFonts w:ascii="仿宋" w:hAnsi="仿宋" w:cs="仿宋"/>
                <w:sz w:val="28"/>
                <w:szCs w:val="28"/>
              </w:rPr>
            </w:pPr>
            <w:r>
              <w:rPr>
                <w:rFonts w:hint="eastAsia" w:ascii="仿宋" w:hAnsi="仿宋" w:cs="仿宋"/>
                <w:sz w:val="28"/>
                <w:szCs w:val="28"/>
              </w:rPr>
              <w:t>套</w:t>
            </w:r>
          </w:p>
        </w:tc>
        <w:tc>
          <w:tcPr>
            <w:tcW w:w="1240" w:type="dxa"/>
            <w:vAlign w:val="center"/>
          </w:tcPr>
          <w:p w14:paraId="5374811B">
            <w:pPr>
              <w:spacing w:line="288" w:lineRule="auto"/>
              <w:ind w:firstLine="0" w:firstLineChars="0"/>
              <w:jc w:val="center"/>
              <w:rPr>
                <w:rFonts w:ascii="仿宋" w:hAnsi="仿宋" w:cs="仿宋"/>
                <w:sz w:val="28"/>
                <w:szCs w:val="28"/>
              </w:rPr>
            </w:pPr>
          </w:p>
        </w:tc>
      </w:tr>
      <w:tr w14:paraId="02C6F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1" w:type="dxa"/>
            <w:vAlign w:val="center"/>
          </w:tcPr>
          <w:p w14:paraId="3C1C9F0B">
            <w:pPr>
              <w:spacing w:line="288" w:lineRule="auto"/>
              <w:ind w:firstLine="0" w:firstLineChars="0"/>
              <w:jc w:val="center"/>
              <w:rPr>
                <w:rFonts w:ascii="仿宋" w:hAnsi="仿宋" w:cs="仿宋"/>
                <w:sz w:val="28"/>
                <w:szCs w:val="28"/>
              </w:rPr>
            </w:pPr>
            <w:r>
              <w:rPr>
                <w:rFonts w:hint="eastAsia" w:ascii="仿宋" w:hAnsi="仿宋" w:cs="仿宋"/>
                <w:sz w:val="28"/>
                <w:szCs w:val="28"/>
              </w:rPr>
              <w:t>3</w:t>
            </w:r>
          </w:p>
        </w:tc>
        <w:tc>
          <w:tcPr>
            <w:tcW w:w="2459" w:type="dxa"/>
            <w:vAlign w:val="center"/>
          </w:tcPr>
          <w:p w14:paraId="310E4C47">
            <w:pPr>
              <w:spacing w:line="288" w:lineRule="auto"/>
              <w:ind w:firstLine="0" w:firstLineChars="0"/>
              <w:jc w:val="center"/>
              <w:rPr>
                <w:rFonts w:ascii="仿宋" w:hAnsi="仿宋" w:cs="仿宋"/>
                <w:sz w:val="28"/>
                <w:szCs w:val="28"/>
              </w:rPr>
            </w:pPr>
            <w:r>
              <w:rPr>
                <w:rFonts w:hint="eastAsia" w:ascii="仿宋" w:hAnsi="仿宋" w:cs="仿宋"/>
                <w:sz w:val="28"/>
                <w:szCs w:val="28"/>
              </w:rPr>
              <w:t>视频安全交换系统</w:t>
            </w:r>
          </w:p>
        </w:tc>
        <w:tc>
          <w:tcPr>
            <w:tcW w:w="906" w:type="dxa"/>
            <w:vAlign w:val="center"/>
          </w:tcPr>
          <w:p w14:paraId="0C910D1F">
            <w:pPr>
              <w:spacing w:line="288" w:lineRule="auto"/>
              <w:ind w:firstLine="0" w:firstLineChars="0"/>
              <w:jc w:val="center"/>
              <w:rPr>
                <w:rFonts w:ascii="仿宋" w:hAnsi="仿宋" w:cs="仿宋"/>
                <w:sz w:val="28"/>
                <w:szCs w:val="28"/>
              </w:rPr>
            </w:pPr>
            <w:r>
              <w:rPr>
                <w:rFonts w:hint="eastAsia" w:ascii="仿宋" w:hAnsi="仿宋" w:cs="仿宋"/>
                <w:sz w:val="28"/>
                <w:szCs w:val="28"/>
              </w:rPr>
              <w:t>2</w:t>
            </w:r>
          </w:p>
        </w:tc>
        <w:tc>
          <w:tcPr>
            <w:tcW w:w="1187" w:type="dxa"/>
            <w:vAlign w:val="center"/>
          </w:tcPr>
          <w:p w14:paraId="33B1231F">
            <w:pPr>
              <w:spacing w:line="288" w:lineRule="auto"/>
              <w:ind w:firstLine="0" w:firstLineChars="0"/>
              <w:jc w:val="center"/>
              <w:rPr>
                <w:rFonts w:ascii="仿宋" w:hAnsi="仿宋" w:cs="仿宋"/>
                <w:sz w:val="28"/>
                <w:szCs w:val="28"/>
              </w:rPr>
            </w:pPr>
            <w:r>
              <w:rPr>
                <w:rFonts w:hint="eastAsia" w:ascii="仿宋" w:hAnsi="仿宋" w:cs="仿宋"/>
                <w:sz w:val="28"/>
                <w:szCs w:val="28"/>
              </w:rPr>
              <w:t>套</w:t>
            </w:r>
          </w:p>
        </w:tc>
        <w:tc>
          <w:tcPr>
            <w:tcW w:w="1240" w:type="dxa"/>
            <w:vAlign w:val="center"/>
          </w:tcPr>
          <w:p w14:paraId="2D9D3354">
            <w:pPr>
              <w:spacing w:line="288" w:lineRule="auto"/>
              <w:ind w:firstLine="0" w:firstLineChars="0"/>
              <w:jc w:val="center"/>
              <w:rPr>
                <w:rFonts w:ascii="仿宋" w:hAnsi="仿宋" w:cs="仿宋"/>
                <w:sz w:val="28"/>
                <w:szCs w:val="28"/>
              </w:rPr>
            </w:pPr>
          </w:p>
        </w:tc>
      </w:tr>
      <w:tr w14:paraId="6DC7D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1" w:type="dxa"/>
            <w:vAlign w:val="center"/>
          </w:tcPr>
          <w:p w14:paraId="266DEB56">
            <w:pPr>
              <w:spacing w:line="288" w:lineRule="auto"/>
              <w:ind w:firstLine="0" w:firstLineChars="0"/>
              <w:jc w:val="center"/>
              <w:rPr>
                <w:rFonts w:ascii="仿宋" w:hAnsi="仿宋" w:cs="仿宋"/>
                <w:sz w:val="28"/>
                <w:szCs w:val="28"/>
              </w:rPr>
            </w:pPr>
            <w:r>
              <w:rPr>
                <w:rFonts w:hint="eastAsia" w:ascii="仿宋" w:hAnsi="仿宋" w:cs="仿宋"/>
                <w:sz w:val="28"/>
                <w:szCs w:val="28"/>
              </w:rPr>
              <w:t>4</w:t>
            </w:r>
          </w:p>
        </w:tc>
        <w:tc>
          <w:tcPr>
            <w:tcW w:w="2459" w:type="dxa"/>
            <w:vAlign w:val="center"/>
          </w:tcPr>
          <w:p w14:paraId="61EA029B">
            <w:pPr>
              <w:spacing w:line="288" w:lineRule="auto"/>
              <w:ind w:firstLine="0" w:firstLineChars="0"/>
              <w:jc w:val="center"/>
              <w:rPr>
                <w:rFonts w:ascii="仿宋" w:hAnsi="仿宋" w:cs="仿宋"/>
                <w:sz w:val="28"/>
                <w:szCs w:val="28"/>
              </w:rPr>
            </w:pPr>
            <w:r>
              <w:rPr>
                <w:rFonts w:hint="eastAsia" w:ascii="仿宋" w:hAnsi="仿宋" w:cs="仿宋"/>
                <w:sz w:val="28"/>
                <w:szCs w:val="28"/>
              </w:rPr>
              <w:t>网闸</w:t>
            </w:r>
          </w:p>
        </w:tc>
        <w:tc>
          <w:tcPr>
            <w:tcW w:w="906" w:type="dxa"/>
            <w:vAlign w:val="center"/>
          </w:tcPr>
          <w:p w14:paraId="6972E646">
            <w:pPr>
              <w:spacing w:line="288" w:lineRule="auto"/>
              <w:ind w:firstLine="0" w:firstLineChars="0"/>
              <w:jc w:val="center"/>
              <w:rPr>
                <w:rFonts w:ascii="仿宋" w:hAnsi="仿宋" w:cs="仿宋"/>
                <w:sz w:val="28"/>
                <w:szCs w:val="28"/>
              </w:rPr>
            </w:pPr>
            <w:r>
              <w:rPr>
                <w:rFonts w:hint="eastAsia" w:ascii="仿宋" w:hAnsi="仿宋" w:cs="仿宋"/>
                <w:sz w:val="28"/>
                <w:szCs w:val="28"/>
              </w:rPr>
              <w:t>1</w:t>
            </w:r>
          </w:p>
        </w:tc>
        <w:tc>
          <w:tcPr>
            <w:tcW w:w="1187" w:type="dxa"/>
            <w:vAlign w:val="center"/>
          </w:tcPr>
          <w:p w14:paraId="77F8EFD5">
            <w:pPr>
              <w:spacing w:line="288" w:lineRule="auto"/>
              <w:ind w:firstLine="0" w:firstLineChars="0"/>
              <w:jc w:val="center"/>
              <w:rPr>
                <w:rFonts w:ascii="仿宋" w:hAnsi="仿宋" w:cs="仿宋"/>
                <w:sz w:val="28"/>
                <w:szCs w:val="28"/>
              </w:rPr>
            </w:pPr>
            <w:r>
              <w:rPr>
                <w:rFonts w:hint="eastAsia" w:ascii="仿宋" w:hAnsi="仿宋" w:cs="仿宋"/>
                <w:sz w:val="28"/>
                <w:szCs w:val="28"/>
              </w:rPr>
              <w:t>台</w:t>
            </w:r>
          </w:p>
        </w:tc>
        <w:tc>
          <w:tcPr>
            <w:tcW w:w="1240" w:type="dxa"/>
            <w:vAlign w:val="center"/>
          </w:tcPr>
          <w:p w14:paraId="2415A781">
            <w:pPr>
              <w:spacing w:line="288" w:lineRule="auto"/>
              <w:ind w:firstLine="0" w:firstLineChars="0"/>
              <w:jc w:val="center"/>
              <w:rPr>
                <w:rFonts w:ascii="仿宋" w:hAnsi="仿宋" w:cs="仿宋"/>
                <w:sz w:val="28"/>
                <w:szCs w:val="28"/>
              </w:rPr>
            </w:pPr>
          </w:p>
        </w:tc>
      </w:tr>
      <w:tr w14:paraId="66860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1" w:type="dxa"/>
            <w:vAlign w:val="center"/>
          </w:tcPr>
          <w:p w14:paraId="2611AA69">
            <w:pPr>
              <w:spacing w:line="288" w:lineRule="auto"/>
              <w:ind w:firstLine="0" w:firstLineChars="0"/>
              <w:jc w:val="center"/>
              <w:rPr>
                <w:rFonts w:ascii="仿宋" w:hAnsi="仿宋" w:cs="仿宋"/>
                <w:sz w:val="28"/>
                <w:szCs w:val="28"/>
              </w:rPr>
            </w:pPr>
            <w:r>
              <w:rPr>
                <w:rFonts w:hint="eastAsia" w:ascii="仿宋" w:hAnsi="仿宋" w:cs="仿宋"/>
                <w:sz w:val="28"/>
                <w:szCs w:val="28"/>
              </w:rPr>
              <w:t>5</w:t>
            </w:r>
          </w:p>
        </w:tc>
        <w:tc>
          <w:tcPr>
            <w:tcW w:w="2459" w:type="dxa"/>
            <w:vAlign w:val="center"/>
          </w:tcPr>
          <w:p w14:paraId="0EC3481A">
            <w:pPr>
              <w:spacing w:line="288" w:lineRule="auto"/>
              <w:ind w:firstLine="0" w:firstLineChars="0"/>
              <w:jc w:val="center"/>
              <w:rPr>
                <w:rFonts w:ascii="仿宋" w:hAnsi="仿宋" w:cs="仿宋"/>
                <w:sz w:val="28"/>
                <w:szCs w:val="28"/>
              </w:rPr>
            </w:pPr>
            <w:r>
              <w:rPr>
                <w:rFonts w:hint="eastAsia" w:ascii="仿宋" w:hAnsi="仿宋" w:cs="仿宋"/>
                <w:sz w:val="28"/>
                <w:szCs w:val="28"/>
              </w:rPr>
              <w:t>单向光闸</w:t>
            </w:r>
          </w:p>
        </w:tc>
        <w:tc>
          <w:tcPr>
            <w:tcW w:w="906" w:type="dxa"/>
            <w:vAlign w:val="center"/>
          </w:tcPr>
          <w:p w14:paraId="74B1CBA2">
            <w:pPr>
              <w:spacing w:line="288" w:lineRule="auto"/>
              <w:ind w:firstLine="0" w:firstLineChars="0"/>
              <w:jc w:val="center"/>
              <w:rPr>
                <w:rFonts w:ascii="仿宋" w:hAnsi="仿宋" w:cs="仿宋"/>
                <w:sz w:val="28"/>
                <w:szCs w:val="28"/>
              </w:rPr>
            </w:pPr>
            <w:r>
              <w:rPr>
                <w:rFonts w:hint="eastAsia" w:ascii="仿宋" w:hAnsi="仿宋" w:cs="仿宋"/>
                <w:sz w:val="28"/>
                <w:szCs w:val="28"/>
              </w:rPr>
              <w:t>3</w:t>
            </w:r>
          </w:p>
        </w:tc>
        <w:tc>
          <w:tcPr>
            <w:tcW w:w="1187" w:type="dxa"/>
            <w:vAlign w:val="center"/>
          </w:tcPr>
          <w:p w14:paraId="63DDFCE9">
            <w:pPr>
              <w:spacing w:line="288" w:lineRule="auto"/>
              <w:ind w:firstLine="0" w:firstLineChars="0"/>
              <w:jc w:val="center"/>
              <w:rPr>
                <w:rFonts w:ascii="仿宋" w:hAnsi="仿宋" w:cs="仿宋"/>
                <w:sz w:val="28"/>
                <w:szCs w:val="28"/>
              </w:rPr>
            </w:pPr>
            <w:r>
              <w:rPr>
                <w:rFonts w:hint="eastAsia" w:ascii="仿宋" w:hAnsi="仿宋" w:cs="仿宋"/>
                <w:sz w:val="28"/>
                <w:szCs w:val="28"/>
              </w:rPr>
              <w:t>台</w:t>
            </w:r>
          </w:p>
        </w:tc>
        <w:tc>
          <w:tcPr>
            <w:tcW w:w="1240" w:type="dxa"/>
            <w:vAlign w:val="center"/>
          </w:tcPr>
          <w:p w14:paraId="563C689C">
            <w:pPr>
              <w:spacing w:line="288" w:lineRule="auto"/>
              <w:ind w:firstLine="0" w:firstLineChars="0"/>
              <w:jc w:val="center"/>
              <w:rPr>
                <w:rFonts w:ascii="仿宋" w:hAnsi="仿宋" w:cs="仿宋"/>
                <w:sz w:val="28"/>
                <w:szCs w:val="28"/>
              </w:rPr>
            </w:pPr>
          </w:p>
        </w:tc>
      </w:tr>
      <w:tr w14:paraId="7BB6F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1" w:type="dxa"/>
            <w:vAlign w:val="center"/>
          </w:tcPr>
          <w:p w14:paraId="3FB07B07">
            <w:pPr>
              <w:spacing w:line="288" w:lineRule="auto"/>
              <w:ind w:firstLine="0" w:firstLineChars="0"/>
              <w:jc w:val="center"/>
              <w:rPr>
                <w:rFonts w:ascii="仿宋" w:hAnsi="仿宋" w:cs="仿宋"/>
                <w:sz w:val="28"/>
                <w:szCs w:val="28"/>
              </w:rPr>
            </w:pPr>
            <w:r>
              <w:rPr>
                <w:rFonts w:hint="eastAsia" w:ascii="仿宋" w:hAnsi="仿宋" w:cs="仿宋"/>
                <w:sz w:val="28"/>
                <w:szCs w:val="28"/>
              </w:rPr>
              <w:t>6</w:t>
            </w:r>
          </w:p>
        </w:tc>
        <w:tc>
          <w:tcPr>
            <w:tcW w:w="2459" w:type="dxa"/>
            <w:vAlign w:val="center"/>
          </w:tcPr>
          <w:p w14:paraId="706C8F4F">
            <w:pPr>
              <w:spacing w:line="288" w:lineRule="auto"/>
              <w:ind w:firstLine="0" w:firstLineChars="0"/>
              <w:jc w:val="center"/>
              <w:rPr>
                <w:rFonts w:ascii="仿宋" w:hAnsi="仿宋" w:cs="仿宋"/>
                <w:sz w:val="28"/>
                <w:szCs w:val="28"/>
              </w:rPr>
            </w:pPr>
            <w:r>
              <w:rPr>
                <w:rFonts w:hint="eastAsia" w:ascii="仿宋" w:hAnsi="仿宋" w:cs="仿宋"/>
                <w:sz w:val="28"/>
                <w:szCs w:val="28"/>
              </w:rPr>
              <w:t>入侵检测</w:t>
            </w:r>
          </w:p>
        </w:tc>
        <w:tc>
          <w:tcPr>
            <w:tcW w:w="906" w:type="dxa"/>
            <w:vAlign w:val="center"/>
          </w:tcPr>
          <w:p w14:paraId="0FC2CCC1">
            <w:pPr>
              <w:spacing w:line="288" w:lineRule="auto"/>
              <w:ind w:firstLine="0" w:firstLineChars="0"/>
              <w:jc w:val="center"/>
              <w:rPr>
                <w:rFonts w:ascii="仿宋" w:hAnsi="仿宋" w:cs="仿宋"/>
                <w:sz w:val="28"/>
                <w:szCs w:val="28"/>
              </w:rPr>
            </w:pPr>
            <w:r>
              <w:rPr>
                <w:rFonts w:hint="eastAsia" w:ascii="仿宋" w:hAnsi="仿宋" w:cs="仿宋"/>
                <w:sz w:val="28"/>
                <w:szCs w:val="28"/>
              </w:rPr>
              <w:t>3</w:t>
            </w:r>
          </w:p>
        </w:tc>
        <w:tc>
          <w:tcPr>
            <w:tcW w:w="1187" w:type="dxa"/>
            <w:vAlign w:val="center"/>
          </w:tcPr>
          <w:p w14:paraId="3F35AFC0">
            <w:pPr>
              <w:spacing w:line="288" w:lineRule="auto"/>
              <w:ind w:firstLine="0" w:firstLineChars="0"/>
              <w:jc w:val="center"/>
              <w:rPr>
                <w:rFonts w:ascii="仿宋" w:hAnsi="仿宋" w:cs="仿宋"/>
                <w:sz w:val="28"/>
                <w:szCs w:val="28"/>
              </w:rPr>
            </w:pPr>
            <w:r>
              <w:rPr>
                <w:rFonts w:hint="eastAsia" w:ascii="仿宋" w:hAnsi="仿宋" w:cs="仿宋"/>
                <w:sz w:val="28"/>
                <w:szCs w:val="28"/>
              </w:rPr>
              <w:t>台</w:t>
            </w:r>
          </w:p>
        </w:tc>
        <w:tc>
          <w:tcPr>
            <w:tcW w:w="1240" w:type="dxa"/>
            <w:vAlign w:val="center"/>
          </w:tcPr>
          <w:p w14:paraId="09A435F7">
            <w:pPr>
              <w:spacing w:line="288" w:lineRule="auto"/>
              <w:ind w:firstLine="0" w:firstLineChars="0"/>
              <w:jc w:val="center"/>
              <w:rPr>
                <w:rFonts w:ascii="仿宋" w:hAnsi="仿宋" w:cs="仿宋"/>
                <w:sz w:val="28"/>
                <w:szCs w:val="28"/>
              </w:rPr>
            </w:pPr>
          </w:p>
        </w:tc>
      </w:tr>
      <w:tr w14:paraId="09880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1" w:type="dxa"/>
            <w:vAlign w:val="center"/>
          </w:tcPr>
          <w:p w14:paraId="35235D83">
            <w:pPr>
              <w:spacing w:line="288" w:lineRule="auto"/>
              <w:ind w:firstLine="0" w:firstLineChars="0"/>
              <w:jc w:val="center"/>
              <w:rPr>
                <w:rFonts w:ascii="仿宋" w:hAnsi="仿宋" w:cs="仿宋"/>
                <w:sz w:val="28"/>
                <w:szCs w:val="28"/>
              </w:rPr>
            </w:pPr>
            <w:r>
              <w:rPr>
                <w:rFonts w:hint="eastAsia" w:ascii="仿宋" w:hAnsi="仿宋" w:cs="仿宋"/>
                <w:sz w:val="28"/>
                <w:szCs w:val="28"/>
              </w:rPr>
              <w:t>7</w:t>
            </w:r>
          </w:p>
        </w:tc>
        <w:tc>
          <w:tcPr>
            <w:tcW w:w="2459" w:type="dxa"/>
            <w:vAlign w:val="center"/>
          </w:tcPr>
          <w:p w14:paraId="28C749D3">
            <w:pPr>
              <w:spacing w:line="288" w:lineRule="auto"/>
              <w:ind w:firstLine="0" w:firstLineChars="0"/>
              <w:jc w:val="center"/>
              <w:rPr>
                <w:rFonts w:ascii="仿宋" w:hAnsi="仿宋" w:cs="仿宋"/>
                <w:sz w:val="28"/>
                <w:szCs w:val="28"/>
              </w:rPr>
            </w:pPr>
            <w:r>
              <w:rPr>
                <w:rFonts w:hint="eastAsia" w:ascii="仿宋" w:hAnsi="仿宋" w:cs="仿宋"/>
                <w:sz w:val="28"/>
                <w:szCs w:val="28"/>
              </w:rPr>
              <w:t>数据防泄漏</w:t>
            </w:r>
          </w:p>
        </w:tc>
        <w:tc>
          <w:tcPr>
            <w:tcW w:w="906" w:type="dxa"/>
            <w:vAlign w:val="center"/>
          </w:tcPr>
          <w:p w14:paraId="0067F853">
            <w:pPr>
              <w:spacing w:line="288" w:lineRule="auto"/>
              <w:ind w:firstLine="0" w:firstLineChars="0"/>
              <w:jc w:val="center"/>
              <w:rPr>
                <w:rFonts w:ascii="仿宋" w:hAnsi="仿宋" w:cs="仿宋"/>
                <w:sz w:val="28"/>
                <w:szCs w:val="28"/>
              </w:rPr>
            </w:pPr>
            <w:r>
              <w:rPr>
                <w:rFonts w:hint="eastAsia" w:ascii="仿宋" w:hAnsi="仿宋" w:cs="仿宋"/>
                <w:sz w:val="28"/>
                <w:szCs w:val="28"/>
              </w:rPr>
              <w:t>3</w:t>
            </w:r>
          </w:p>
        </w:tc>
        <w:tc>
          <w:tcPr>
            <w:tcW w:w="1187" w:type="dxa"/>
            <w:vAlign w:val="center"/>
          </w:tcPr>
          <w:p w14:paraId="2FAE455F">
            <w:pPr>
              <w:spacing w:line="288" w:lineRule="auto"/>
              <w:ind w:firstLine="0" w:firstLineChars="0"/>
              <w:jc w:val="center"/>
              <w:rPr>
                <w:rFonts w:ascii="仿宋" w:hAnsi="仿宋" w:cs="仿宋"/>
                <w:sz w:val="28"/>
                <w:szCs w:val="28"/>
              </w:rPr>
            </w:pPr>
            <w:r>
              <w:rPr>
                <w:rFonts w:hint="eastAsia" w:ascii="仿宋" w:hAnsi="仿宋" w:cs="仿宋"/>
                <w:sz w:val="28"/>
                <w:szCs w:val="28"/>
              </w:rPr>
              <w:t>台</w:t>
            </w:r>
          </w:p>
        </w:tc>
        <w:tc>
          <w:tcPr>
            <w:tcW w:w="1240" w:type="dxa"/>
            <w:vAlign w:val="center"/>
          </w:tcPr>
          <w:p w14:paraId="4BA81059">
            <w:pPr>
              <w:spacing w:line="288" w:lineRule="auto"/>
              <w:ind w:firstLine="0" w:firstLineChars="0"/>
              <w:jc w:val="center"/>
              <w:rPr>
                <w:rFonts w:ascii="仿宋" w:hAnsi="仿宋" w:cs="仿宋"/>
                <w:sz w:val="28"/>
                <w:szCs w:val="28"/>
              </w:rPr>
            </w:pPr>
          </w:p>
        </w:tc>
      </w:tr>
      <w:tr w14:paraId="55A3E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1" w:type="dxa"/>
            <w:vAlign w:val="center"/>
          </w:tcPr>
          <w:p w14:paraId="43C5CF46">
            <w:pPr>
              <w:spacing w:line="288" w:lineRule="auto"/>
              <w:ind w:firstLine="0" w:firstLineChars="0"/>
              <w:jc w:val="center"/>
              <w:rPr>
                <w:rFonts w:ascii="仿宋" w:hAnsi="仿宋" w:cs="仿宋"/>
                <w:sz w:val="28"/>
                <w:szCs w:val="28"/>
              </w:rPr>
            </w:pPr>
            <w:r>
              <w:rPr>
                <w:rFonts w:hint="eastAsia" w:ascii="仿宋" w:hAnsi="仿宋" w:cs="仿宋"/>
                <w:sz w:val="28"/>
                <w:szCs w:val="28"/>
              </w:rPr>
              <w:t>8</w:t>
            </w:r>
          </w:p>
        </w:tc>
        <w:tc>
          <w:tcPr>
            <w:tcW w:w="2459" w:type="dxa"/>
            <w:vAlign w:val="center"/>
          </w:tcPr>
          <w:p w14:paraId="16AD8D1E">
            <w:pPr>
              <w:spacing w:line="288" w:lineRule="auto"/>
              <w:ind w:firstLine="0" w:firstLineChars="0"/>
              <w:jc w:val="center"/>
              <w:rPr>
                <w:rFonts w:ascii="仿宋" w:hAnsi="仿宋" w:cs="仿宋"/>
                <w:sz w:val="28"/>
                <w:szCs w:val="28"/>
              </w:rPr>
            </w:pPr>
            <w:r>
              <w:rPr>
                <w:rFonts w:hint="eastAsia" w:ascii="仿宋" w:hAnsi="仿宋" w:cs="仿宋"/>
                <w:sz w:val="28"/>
                <w:szCs w:val="28"/>
              </w:rPr>
              <w:t>集控探针</w:t>
            </w:r>
          </w:p>
        </w:tc>
        <w:tc>
          <w:tcPr>
            <w:tcW w:w="906" w:type="dxa"/>
            <w:vAlign w:val="center"/>
          </w:tcPr>
          <w:p w14:paraId="1B0B85D4">
            <w:pPr>
              <w:spacing w:line="288" w:lineRule="auto"/>
              <w:ind w:firstLine="0" w:firstLineChars="0"/>
              <w:jc w:val="center"/>
              <w:rPr>
                <w:rFonts w:ascii="仿宋" w:hAnsi="仿宋" w:cs="仿宋"/>
                <w:sz w:val="28"/>
                <w:szCs w:val="28"/>
              </w:rPr>
            </w:pPr>
            <w:r>
              <w:rPr>
                <w:rFonts w:hint="eastAsia" w:ascii="仿宋" w:hAnsi="仿宋" w:cs="仿宋"/>
                <w:sz w:val="28"/>
                <w:szCs w:val="28"/>
              </w:rPr>
              <w:t>3</w:t>
            </w:r>
          </w:p>
        </w:tc>
        <w:tc>
          <w:tcPr>
            <w:tcW w:w="1187" w:type="dxa"/>
            <w:vAlign w:val="center"/>
          </w:tcPr>
          <w:p w14:paraId="2419C5E6">
            <w:pPr>
              <w:spacing w:line="288" w:lineRule="auto"/>
              <w:ind w:firstLine="0" w:firstLineChars="0"/>
              <w:jc w:val="center"/>
              <w:rPr>
                <w:rFonts w:ascii="仿宋" w:hAnsi="仿宋" w:cs="仿宋"/>
                <w:sz w:val="28"/>
                <w:szCs w:val="28"/>
              </w:rPr>
            </w:pPr>
            <w:r>
              <w:rPr>
                <w:rFonts w:hint="eastAsia" w:ascii="仿宋" w:hAnsi="仿宋" w:cs="仿宋"/>
                <w:sz w:val="28"/>
                <w:szCs w:val="28"/>
              </w:rPr>
              <w:t>台</w:t>
            </w:r>
          </w:p>
        </w:tc>
        <w:tc>
          <w:tcPr>
            <w:tcW w:w="1240" w:type="dxa"/>
            <w:vAlign w:val="center"/>
          </w:tcPr>
          <w:p w14:paraId="0BC9BEA8">
            <w:pPr>
              <w:spacing w:line="288" w:lineRule="auto"/>
              <w:ind w:firstLine="0" w:firstLineChars="0"/>
              <w:jc w:val="center"/>
              <w:rPr>
                <w:rFonts w:ascii="仿宋" w:hAnsi="仿宋" w:cs="仿宋"/>
                <w:sz w:val="28"/>
                <w:szCs w:val="28"/>
              </w:rPr>
            </w:pPr>
          </w:p>
        </w:tc>
      </w:tr>
      <w:tr w14:paraId="7E348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1" w:type="dxa"/>
            <w:vAlign w:val="center"/>
          </w:tcPr>
          <w:p w14:paraId="0CA39155">
            <w:pPr>
              <w:spacing w:line="288" w:lineRule="auto"/>
              <w:ind w:firstLine="0" w:firstLineChars="0"/>
              <w:jc w:val="center"/>
              <w:rPr>
                <w:rFonts w:ascii="仿宋" w:hAnsi="仿宋" w:cs="仿宋"/>
                <w:sz w:val="28"/>
                <w:szCs w:val="28"/>
              </w:rPr>
            </w:pPr>
            <w:r>
              <w:rPr>
                <w:rFonts w:hint="eastAsia" w:ascii="仿宋" w:hAnsi="仿宋" w:cs="仿宋"/>
                <w:sz w:val="28"/>
                <w:szCs w:val="28"/>
              </w:rPr>
              <w:t>9</w:t>
            </w:r>
          </w:p>
        </w:tc>
        <w:tc>
          <w:tcPr>
            <w:tcW w:w="2459" w:type="dxa"/>
            <w:vAlign w:val="center"/>
          </w:tcPr>
          <w:p w14:paraId="7A0B1EDA">
            <w:pPr>
              <w:spacing w:line="288" w:lineRule="auto"/>
              <w:ind w:firstLine="0" w:firstLineChars="0"/>
              <w:jc w:val="center"/>
              <w:rPr>
                <w:rFonts w:ascii="仿宋" w:hAnsi="仿宋" w:cs="仿宋"/>
                <w:sz w:val="28"/>
                <w:szCs w:val="28"/>
              </w:rPr>
            </w:pPr>
            <w:r>
              <w:rPr>
                <w:rFonts w:hint="eastAsia" w:ascii="仿宋" w:hAnsi="仿宋" w:cs="仿宋"/>
                <w:sz w:val="28"/>
                <w:szCs w:val="28"/>
              </w:rPr>
              <w:t>集中监控系统</w:t>
            </w:r>
          </w:p>
        </w:tc>
        <w:tc>
          <w:tcPr>
            <w:tcW w:w="906" w:type="dxa"/>
            <w:vAlign w:val="center"/>
          </w:tcPr>
          <w:p w14:paraId="17AB7B26">
            <w:pPr>
              <w:spacing w:line="288" w:lineRule="auto"/>
              <w:ind w:firstLine="0" w:firstLineChars="0"/>
              <w:jc w:val="center"/>
              <w:rPr>
                <w:rFonts w:ascii="仿宋" w:hAnsi="仿宋" w:cs="仿宋"/>
                <w:sz w:val="28"/>
                <w:szCs w:val="28"/>
              </w:rPr>
            </w:pPr>
            <w:r>
              <w:rPr>
                <w:rFonts w:hint="eastAsia" w:ascii="仿宋" w:hAnsi="仿宋" w:cs="仿宋"/>
                <w:sz w:val="28"/>
                <w:szCs w:val="28"/>
              </w:rPr>
              <w:t>1</w:t>
            </w:r>
          </w:p>
        </w:tc>
        <w:tc>
          <w:tcPr>
            <w:tcW w:w="1187" w:type="dxa"/>
            <w:vAlign w:val="center"/>
          </w:tcPr>
          <w:p w14:paraId="28A00E4A">
            <w:pPr>
              <w:spacing w:line="288" w:lineRule="auto"/>
              <w:ind w:firstLine="0" w:firstLineChars="0"/>
              <w:jc w:val="center"/>
              <w:rPr>
                <w:rFonts w:ascii="仿宋" w:hAnsi="仿宋" w:cs="仿宋"/>
                <w:sz w:val="28"/>
                <w:szCs w:val="28"/>
              </w:rPr>
            </w:pPr>
            <w:r>
              <w:rPr>
                <w:rFonts w:hint="eastAsia" w:ascii="仿宋" w:hAnsi="仿宋" w:cs="仿宋"/>
                <w:sz w:val="28"/>
                <w:szCs w:val="28"/>
              </w:rPr>
              <w:t>台</w:t>
            </w:r>
          </w:p>
        </w:tc>
        <w:tc>
          <w:tcPr>
            <w:tcW w:w="1240" w:type="dxa"/>
            <w:vAlign w:val="center"/>
          </w:tcPr>
          <w:p w14:paraId="1F50EA2D">
            <w:pPr>
              <w:spacing w:line="288" w:lineRule="auto"/>
              <w:ind w:firstLine="0" w:firstLineChars="0"/>
              <w:jc w:val="center"/>
              <w:rPr>
                <w:rFonts w:ascii="仿宋" w:hAnsi="仿宋" w:cs="仿宋"/>
                <w:sz w:val="28"/>
                <w:szCs w:val="28"/>
              </w:rPr>
            </w:pPr>
          </w:p>
        </w:tc>
      </w:tr>
      <w:tr w14:paraId="33D75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1" w:type="dxa"/>
            <w:vAlign w:val="center"/>
          </w:tcPr>
          <w:p w14:paraId="40A4D0C9">
            <w:pPr>
              <w:spacing w:line="288" w:lineRule="auto"/>
              <w:ind w:firstLine="0" w:firstLineChars="0"/>
              <w:jc w:val="center"/>
              <w:rPr>
                <w:rFonts w:ascii="仿宋" w:hAnsi="仿宋" w:cs="仿宋"/>
                <w:sz w:val="28"/>
                <w:szCs w:val="28"/>
              </w:rPr>
            </w:pPr>
            <w:r>
              <w:rPr>
                <w:rFonts w:hint="eastAsia" w:ascii="仿宋" w:hAnsi="仿宋" w:cs="仿宋"/>
                <w:sz w:val="28"/>
                <w:szCs w:val="28"/>
              </w:rPr>
              <w:t>10</w:t>
            </w:r>
          </w:p>
        </w:tc>
        <w:tc>
          <w:tcPr>
            <w:tcW w:w="2459" w:type="dxa"/>
            <w:vAlign w:val="center"/>
          </w:tcPr>
          <w:p w14:paraId="0DEA87F6">
            <w:pPr>
              <w:spacing w:line="288" w:lineRule="auto"/>
              <w:ind w:firstLine="0" w:firstLineChars="0"/>
              <w:jc w:val="center"/>
              <w:rPr>
                <w:rFonts w:ascii="仿宋" w:hAnsi="仿宋" w:cs="仿宋"/>
                <w:sz w:val="28"/>
                <w:szCs w:val="28"/>
              </w:rPr>
            </w:pPr>
            <w:r>
              <w:rPr>
                <w:rFonts w:hint="eastAsia" w:ascii="仿宋" w:hAnsi="仿宋" w:cs="仿宋"/>
                <w:sz w:val="28"/>
                <w:szCs w:val="28"/>
              </w:rPr>
              <w:t>安全边界接入网关</w:t>
            </w:r>
          </w:p>
        </w:tc>
        <w:tc>
          <w:tcPr>
            <w:tcW w:w="906" w:type="dxa"/>
            <w:vAlign w:val="center"/>
          </w:tcPr>
          <w:p w14:paraId="796EB324">
            <w:pPr>
              <w:spacing w:line="288" w:lineRule="auto"/>
              <w:ind w:firstLine="0" w:firstLineChars="0"/>
              <w:jc w:val="center"/>
              <w:rPr>
                <w:rFonts w:ascii="仿宋" w:hAnsi="仿宋" w:cs="仿宋"/>
                <w:sz w:val="28"/>
                <w:szCs w:val="28"/>
              </w:rPr>
            </w:pPr>
            <w:r>
              <w:rPr>
                <w:rFonts w:hint="eastAsia" w:ascii="仿宋" w:hAnsi="仿宋" w:cs="仿宋"/>
                <w:sz w:val="28"/>
                <w:szCs w:val="28"/>
              </w:rPr>
              <w:t>3</w:t>
            </w:r>
          </w:p>
        </w:tc>
        <w:tc>
          <w:tcPr>
            <w:tcW w:w="1187" w:type="dxa"/>
            <w:vAlign w:val="center"/>
          </w:tcPr>
          <w:p w14:paraId="26DB76EC">
            <w:pPr>
              <w:spacing w:line="288" w:lineRule="auto"/>
              <w:ind w:firstLine="0" w:firstLineChars="0"/>
              <w:jc w:val="center"/>
              <w:rPr>
                <w:rFonts w:ascii="仿宋" w:hAnsi="仿宋" w:cs="仿宋"/>
                <w:sz w:val="28"/>
                <w:szCs w:val="28"/>
              </w:rPr>
            </w:pPr>
            <w:r>
              <w:rPr>
                <w:rFonts w:hint="eastAsia" w:ascii="仿宋" w:hAnsi="仿宋" w:cs="仿宋"/>
                <w:sz w:val="28"/>
                <w:szCs w:val="28"/>
              </w:rPr>
              <w:t>台</w:t>
            </w:r>
          </w:p>
        </w:tc>
        <w:tc>
          <w:tcPr>
            <w:tcW w:w="1240" w:type="dxa"/>
            <w:vAlign w:val="center"/>
          </w:tcPr>
          <w:p w14:paraId="4C6E058A">
            <w:pPr>
              <w:spacing w:line="288" w:lineRule="auto"/>
              <w:ind w:firstLine="0" w:firstLineChars="0"/>
              <w:jc w:val="center"/>
              <w:rPr>
                <w:rFonts w:ascii="仿宋" w:hAnsi="仿宋" w:cs="仿宋"/>
                <w:sz w:val="28"/>
                <w:szCs w:val="28"/>
              </w:rPr>
            </w:pPr>
          </w:p>
        </w:tc>
      </w:tr>
      <w:tr w14:paraId="2D05C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1" w:type="dxa"/>
            <w:vAlign w:val="center"/>
          </w:tcPr>
          <w:p w14:paraId="67017FB0">
            <w:pPr>
              <w:spacing w:line="288" w:lineRule="auto"/>
              <w:ind w:firstLine="0" w:firstLineChars="0"/>
              <w:jc w:val="center"/>
              <w:rPr>
                <w:rFonts w:ascii="仿宋" w:hAnsi="仿宋" w:cs="仿宋"/>
                <w:sz w:val="28"/>
                <w:szCs w:val="28"/>
              </w:rPr>
            </w:pPr>
            <w:r>
              <w:rPr>
                <w:rFonts w:hint="eastAsia" w:ascii="仿宋" w:hAnsi="仿宋" w:cs="仿宋"/>
                <w:sz w:val="28"/>
                <w:szCs w:val="28"/>
              </w:rPr>
              <w:t>11</w:t>
            </w:r>
          </w:p>
        </w:tc>
        <w:tc>
          <w:tcPr>
            <w:tcW w:w="2459" w:type="dxa"/>
            <w:vAlign w:val="center"/>
          </w:tcPr>
          <w:p w14:paraId="3F8C7414">
            <w:pPr>
              <w:spacing w:line="288" w:lineRule="auto"/>
              <w:ind w:firstLine="0" w:firstLineChars="0"/>
              <w:jc w:val="center"/>
              <w:rPr>
                <w:rFonts w:ascii="仿宋" w:hAnsi="仿宋" w:cs="仿宋"/>
                <w:sz w:val="28"/>
                <w:szCs w:val="28"/>
              </w:rPr>
            </w:pPr>
            <w:r>
              <w:rPr>
                <w:rFonts w:hint="eastAsia" w:ascii="仿宋" w:hAnsi="仿宋" w:cs="仿宋"/>
                <w:sz w:val="28"/>
                <w:szCs w:val="28"/>
              </w:rPr>
              <w:t>接入防火墙</w:t>
            </w:r>
          </w:p>
        </w:tc>
        <w:tc>
          <w:tcPr>
            <w:tcW w:w="906" w:type="dxa"/>
            <w:vAlign w:val="center"/>
          </w:tcPr>
          <w:p w14:paraId="0A4E07C0">
            <w:pPr>
              <w:spacing w:line="288" w:lineRule="auto"/>
              <w:ind w:firstLine="0" w:firstLineChars="0"/>
              <w:jc w:val="center"/>
              <w:rPr>
                <w:rFonts w:ascii="仿宋" w:hAnsi="仿宋" w:cs="仿宋"/>
                <w:sz w:val="28"/>
                <w:szCs w:val="28"/>
              </w:rPr>
            </w:pPr>
            <w:r>
              <w:rPr>
                <w:rFonts w:hint="eastAsia" w:ascii="仿宋" w:hAnsi="仿宋" w:cs="仿宋"/>
                <w:sz w:val="28"/>
                <w:szCs w:val="28"/>
              </w:rPr>
              <w:t>3</w:t>
            </w:r>
          </w:p>
        </w:tc>
        <w:tc>
          <w:tcPr>
            <w:tcW w:w="1187" w:type="dxa"/>
            <w:vAlign w:val="center"/>
          </w:tcPr>
          <w:p w14:paraId="6E8BF41D">
            <w:pPr>
              <w:spacing w:line="288" w:lineRule="auto"/>
              <w:ind w:firstLine="0" w:firstLineChars="0"/>
              <w:jc w:val="center"/>
              <w:rPr>
                <w:rFonts w:ascii="仿宋" w:hAnsi="仿宋" w:cs="仿宋"/>
                <w:sz w:val="28"/>
                <w:szCs w:val="28"/>
              </w:rPr>
            </w:pPr>
            <w:r>
              <w:rPr>
                <w:rFonts w:hint="eastAsia" w:ascii="仿宋" w:hAnsi="仿宋" w:cs="仿宋"/>
                <w:sz w:val="28"/>
                <w:szCs w:val="28"/>
              </w:rPr>
              <w:t>台</w:t>
            </w:r>
          </w:p>
        </w:tc>
        <w:tc>
          <w:tcPr>
            <w:tcW w:w="1240" w:type="dxa"/>
            <w:vAlign w:val="center"/>
          </w:tcPr>
          <w:p w14:paraId="0A20F28D">
            <w:pPr>
              <w:spacing w:line="288" w:lineRule="auto"/>
              <w:ind w:firstLine="0" w:firstLineChars="0"/>
              <w:jc w:val="center"/>
              <w:rPr>
                <w:rFonts w:ascii="仿宋" w:hAnsi="仿宋" w:cs="仿宋"/>
                <w:sz w:val="28"/>
                <w:szCs w:val="28"/>
              </w:rPr>
            </w:pPr>
          </w:p>
        </w:tc>
      </w:tr>
    </w:tbl>
    <w:p w14:paraId="51AD80FC">
      <w:pPr>
        <w:pStyle w:val="5"/>
        <w:bidi w:val="0"/>
      </w:pPr>
      <w:r>
        <w:rPr>
          <w:rFonts w:hint="eastAsia"/>
          <w:lang w:val="en-US" w:eastAsia="zh-CN"/>
        </w:rPr>
        <w:t>硬件及相关设备</w:t>
      </w:r>
    </w:p>
    <w:p w14:paraId="130F6E27">
      <w:pPr>
        <w:pStyle w:val="6"/>
        <w:rPr>
          <w:lang w:eastAsia="zh-Hans"/>
        </w:rPr>
      </w:pPr>
      <w:r>
        <w:rPr>
          <w:rFonts w:hint="eastAsia"/>
          <w:lang w:val="en-US" w:eastAsia="zh-CN"/>
        </w:rPr>
        <w:t>接入交换机（3台）</w:t>
      </w:r>
    </w:p>
    <w:p w14:paraId="7FD309F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sz w:val="28"/>
          <w:szCs w:val="21"/>
        </w:rPr>
      </w:pPr>
      <w:r>
        <w:rPr>
          <w:rFonts w:hint="eastAsia"/>
          <w:sz w:val="28"/>
          <w:szCs w:val="21"/>
        </w:rPr>
        <w:t>交换容量≥336Gbps/3.36Tbps，≥24个千兆电口，≥4个万兆光口，3年产品质保服务。</w:t>
      </w:r>
    </w:p>
    <w:p w14:paraId="3214FCA5">
      <w:pPr>
        <w:pStyle w:val="6"/>
        <w:rPr>
          <w:lang w:eastAsia="zh-Hans"/>
        </w:rPr>
      </w:pPr>
      <w:r>
        <w:rPr>
          <w:rFonts w:hint="eastAsia"/>
          <w:lang w:val="en-US" w:eastAsia="zh-CN"/>
        </w:rPr>
        <w:t>数据安全交换系统（2套）</w:t>
      </w:r>
    </w:p>
    <w:p w14:paraId="2D5E4E0A">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sz w:val="28"/>
          <w:szCs w:val="21"/>
        </w:rPr>
      </w:pPr>
      <w:r>
        <w:rPr>
          <w:rFonts w:hint="eastAsia"/>
          <w:sz w:val="28"/>
          <w:szCs w:val="21"/>
        </w:rPr>
        <w:t>1、包含前置及后置设备，前置：2U标准机架式硬件设备，吞吐量≥5Gbps，配备RJ45串口≥1个、USB口≥4个、千兆电口≥6个，双电源；后置：2U标准机架式硬件设备，吞吐量≥5Gbps，配备RJ45串口≥1个、USB口≥4个、千兆电口≥6个，双电源。</w:t>
      </w:r>
    </w:p>
    <w:p w14:paraId="2C6B18B6">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sz w:val="28"/>
          <w:szCs w:val="21"/>
        </w:rPr>
      </w:pPr>
      <w:r>
        <w:rPr>
          <w:rFonts w:hint="eastAsia"/>
          <w:sz w:val="28"/>
          <w:szCs w:val="21"/>
        </w:rPr>
        <w:t>2、支持与单向光闸隔离设备采用API私密通讯，杜绝其他通用协议，如UDP直接传输数据。</w:t>
      </w:r>
    </w:p>
    <w:p w14:paraId="2AE4D0CF">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sz w:val="28"/>
          <w:szCs w:val="21"/>
        </w:rPr>
      </w:pPr>
      <w:r>
        <w:rPr>
          <w:rFonts w:hint="eastAsia"/>
          <w:sz w:val="28"/>
          <w:szCs w:val="21"/>
        </w:rPr>
        <w:t>3、文件同步类型支持本地FTP、本地SMB、本地NFS、本地SFTP、远程FTP等方式。</w:t>
      </w:r>
    </w:p>
    <w:p w14:paraId="5FF8CCF6">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sz w:val="28"/>
          <w:szCs w:val="21"/>
        </w:rPr>
      </w:pPr>
      <w:r>
        <w:rPr>
          <w:rFonts w:hint="eastAsia"/>
          <w:sz w:val="28"/>
          <w:szCs w:val="21"/>
        </w:rPr>
        <w:t>4、支持windows、Linux专用客户端方式的文件同步、支持文件特征、文件内容、文件名等各种过滤方式，支持图片内容过滤。</w:t>
      </w:r>
    </w:p>
    <w:p w14:paraId="4860A97F">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sz w:val="28"/>
          <w:szCs w:val="21"/>
        </w:rPr>
      </w:pPr>
      <w:r>
        <w:rPr>
          <w:rFonts w:hint="eastAsia"/>
          <w:sz w:val="28"/>
          <w:szCs w:val="21"/>
        </w:rPr>
        <w:t>5、支持同步限速、同步间隔、配置任务优先级、监控目录清理。</w:t>
      </w:r>
    </w:p>
    <w:p w14:paraId="000BD4FA">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sz w:val="28"/>
          <w:szCs w:val="21"/>
        </w:rPr>
      </w:pPr>
      <w:r>
        <w:rPr>
          <w:rFonts w:hint="eastAsia"/>
          <w:sz w:val="28"/>
          <w:szCs w:val="21"/>
        </w:rPr>
        <w:t>6、默认支持Txt、AVI、Bak、Bat、BMP、BWF、Dll、Doc、Docx、Excel、Exe、MP3、PDF、PPT、PPTX、XML、Zip、WMA、Wps等文件特征过滤、具备文件特征智能识别功能，能针对新的特征文件进行系统自动学习和识别。</w:t>
      </w:r>
    </w:p>
    <w:p w14:paraId="3774A4BE">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sz w:val="28"/>
          <w:szCs w:val="21"/>
        </w:rPr>
      </w:pPr>
      <w:r>
        <w:rPr>
          <w:rFonts w:hint="eastAsia"/>
          <w:sz w:val="28"/>
          <w:szCs w:val="21"/>
        </w:rPr>
        <w:t>7、具备文件名和文件内容过滤，具备文件大小、文件病毒过滤。</w:t>
      </w:r>
    </w:p>
    <w:p w14:paraId="5624E6C5">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sz w:val="28"/>
          <w:szCs w:val="21"/>
        </w:rPr>
      </w:pPr>
      <w:r>
        <w:rPr>
          <w:rFonts w:hint="eastAsia"/>
          <w:sz w:val="28"/>
          <w:szCs w:val="21"/>
        </w:rPr>
        <w:t>8、支持各种数据库之间的异构同步，包括：不同数据库、一对多同步、多对一同步、自增字段同步、无主键表同步、异构同步、异构字段/表名同步、异构字段类型同步、大字段同步、大字段异构同步、条件过滤同步、异常恢复同步。</w:t>
      </w:r>
    </w:p>
    <w:p w14:paraId="7147268D">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sz w:val="28"/>
          <w:szCs w:val="21"/>
        </w:rPr>
      </w:pPr>
      <w:r>
        <w:rPr>
          <w:rFonts w:hint="eastAsia"/>
          <w:sz w:val="28"/>
          <w:szCs w:val="21"/>
        </w:rPr>
        <w:t>9、支持 BLOB、 CLOB、TEXT、IMAGE 等大字段的异构。</w:t>
      </w:r>
    </w:p>
    <w:p w14:paraId="4FE6C4E5">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sz w:val="28"/>
          <w:szCs w:val="21"/>
        </w:rPr>
      </w:pPr>
      <w:r>
        <w:rPr>
          <w:rFonts w:hint="eastAsia"/>
          <w:sz w:val="28"/>
          <w:szCs w:val="21"/>
        </w:rPr>
        <w:t>10、具备私有协议传输接口，支持 Webservice 接口混合数据传输支持 Webservice/form-data 协议 支持 Webservice 同步异步模式，支持短信息、结构化数据、非结构化数据、自定义数据及以上数据类型的混合数据同步交换。</w:t>
      </w:r>
    </w:p>
    <w:p w14:paraId="7E3A8692">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sz w:val="28"/>
          <w:szCs w:val="21"/>
        </w:rPr>
      </w:pPr>
      <w:r>
        <w:rPr>
          <w:rFonts w:hint="eastAsia"/>
          <w:sz w:val="28"/>
          <w:szCs w:val="21"/>
        </w:rPr>
        <w:t>11、支持唯一Token认证，只有经过认证的应用才能进行数据安全交互。</w:t>
      </w:r>
    </w:p>
    <w:p w14:paraId="0A4C2A7E">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sz w:val="28"/>
          <w:szCs w:val="21"/>
        </w:rPr>
      </w:pPr>
      <w:r>
        <w:rPr>
          <w:rFonts w:hint="eastAsia"/>
          <w:sz w:val="28"/>
          <w:szCs w:val="21"/>
        </w:rPr>
        <w:t>12、具备满足“GA/T 1788.3-2021 公安视频图像信息系统安全技术要求 第3部分:交互安全”标准的软件测试报告。</w:t>
      </w:r>
    </w:p>
    <w:p w14:paraId="2B862963">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pPr>
      <w:r>
        <w:rPr>
          <w:rFonts w:hint="eastAsia"/>
          <w:sz w:val="28"/>
          <w:szCs w:val="21"/>
        </w:rPr>
        <w:t>13、提供3年升级授权，远程支持服务，产品保修服务，硬件故障上门支持。</w:t>
      </w:r>
    </w:p>
    <w:p w14:paraId="10C392DA">
      <w:pPr>
        <w:pStyle w:val="6"/>
        <w:rPr>
          <w:lang w:eastAsia="zh-Hans"/>
        </w:rPr>
      </w:pPr>
      <w:r>
        <w:rPr>
          <w:rFonts w:hint="eastAsia"/>
          <w:lang w:val="en-US" w:eastAsia="zh-CN"/>
        </w:rPr>
        <w:t>视频安全交换系统（2套）</w:t>
      </w:r>
    </w:p>
    <w:p w14:paraId="15910CF7">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sz w:val="28"/>
          <w:szCs w:val="21"/>
        </w:rPr>
      </w:pPr>
      <w:r>
        <w:rPr>
          <w:rFonts w:hint="eastAsia"/>
          <w:sz w:val="28"/>
          <w:szCs w:val="21"/>
        </w:rPr>
        <w:t>1、包含前置及后置设备，前置：2U标准机架式硬件设备，吞吐量≥5Gbps，配备RJ45串口≥1个、USB口≥4个、千兆电口≥6个，双电源；后置：2U标准机架式硬件设备，吞吐量≥5Gbps，配备RJ45串口≥1个、USB口≥4个、千兆电口≥6个，双电源。</w:t>
      </w:r>
    </w:p>
    <w:p w14:paraId="5D081D25">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sz w:val="28"/>
          <w:szCs w:val="21"/>
        </w:rPr>
      </w:pPr>
      <w:r>
        <w:rPr>
          <w:rFonts w:hint="eastAsia"/>
          <w:sz w:val="28"/>
          <w:szCs w:val="21"/>
        </w:rPr>
        <w:t>2、支持与单向光闸隔离设备采用API私密通讯，杜绝其他通用协议，如UDP直接传输数据。</w:t>
      </w:r>
    </w:p>
    <w:p w14:paraId="1233463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sz w:val="28"/>
          <w:szCs w:val="21"/>
        </w:rPr>
      </w:pPr>
      <w:r>
        <w:rPr>
          <w:rFonts w:hint="eastAsia"/>
          <w:sz w:val="28"/>
          <w:szCs w:val="21"/>
        </w:rPr>
        <w:t>3、支持海康、高新兴、海信、金鹏、贝尔、华三、科达、大华、佳都新泰、烽火等主流视频厂商协议深度解析。</w:t>
      </w:r>
    </w:p>
    <w:p w14:paraId="28D9ACD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sz w:val="28"/>
          <w:szCs w:val="21"/>
        </w:rPr>
      </w:pPr>
      <w:r>
        <w:rPr>
          <w:rFonts w:hint="eastAsia"/>
          <w:sz w:val="28"/>
          <w:szCs w:val="21"/>
        </w:rPr>
        <w:t>4、支持解析视频交换过程的控制信令类型、格式和内容，对控制信令进行格式检查和内容过滤，仅允许符合格式要求的控制信令通过，对不符合格式的控制信令进行阻断和报警。</w:t>
      </w:r>
    </w:p>
    <w:p w14:paraId="2A37AE03">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sz w:val="28"/>
          <w:szCs w:val="21"/>
        </w:rPr>
      </w:pPr>
      <w:r>
        <w:rPr>
          <w:rFonts w:hint="eastAsia"/>
          <w:sz w:val="28"/>
          <w:szCs w:val="21"/>
        </w:rPr>
        <w:t>5、信令内容过滤应支持对SIP请求方法、源IP、视频编码等进行黑、白名单过滤。</w:t>
      </w:r>
    </w:p>
    <w:p w14:paraId="3787EE8E">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sz w:val="28"/>
          <w:szCs w:val="21"/>
        </w:rPr>
      </w:pPr>
      <w:r>
        <w:rPr>
          <w:rFonts w:hint="eastAsia"/>
          <w:sz w:val="28"/>
          <w:szCs w:val="21"/>
        </w:rPr>
        <w:t>6、支持基于SIP服务器域、SIP服务器ID等注册信息进行过滤。</w:t>
      </w:r>
    </w:p>
    <w:p w14:paraId="0DBA8367">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sz w:val="28"/>
          <w:szCs w:val="21"/>
        </w:rPr>
      </w:pPr>
      <w:r>
        <w:rPr>
          <w:rFonts w:hint="eastAsia"/>
          <w:sz w:val="28"/>
          <w:szCs w:val="21"/>
        </w:rPr>
        <w:t>7、支持视频插帧动作，可设置插帧频率。</w:t>
      </w:r>
    </w:p>
    <w:p w14:paraId="4968DAEF">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sz w:val="28"/>
          <w:szCs w:val="21"/>
        </w:rPr>
      </w:pPr>
      <w:r>
        <w:rPr>
          <w:rFonts w:hint="eastAsia"/>
          <w:sz w:val="28"/>
          <w:szCs w:val="21"/>
        </w:rPr>
        <w:t>8、支持DB33标准、GB28181标准、GB35114标准，支持RTSP协议。</w:t>
      </w:r>
    </w:p>
    <w:p w14:paraId="314E609E">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sz w:val="28"/>
          <w:szCs w:val="21"/>
        </w:rPr>
      </w:pPr>
      <w:r>
        <w:rPr>
          <w:rFonts w:hint="eastAsia"/>
          <w:sz w:val="28"/>
          <w:szCs w:val="21"/>
        </w:rPr>
        <w:t>9、支持视频信令，穿透正反两台光闸完成视频信令的交互，实现视频流的单向传输。</w:t>
      </w:r>
    </w:p>
    <w:p w14:paraId="65B44D46">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sz w:val="28"/>
          <w:szCs w:val="21"/>
        </w:rPr>
      </w:pPr>
      <w:r>
        <w:rPr>
          <w:rFonts w:hint="eastAsia"/>
          <w:sz w:val="28"/>
          <w:szCs w:val="21"/>
        </w:rPr>
        <w:t>10、支持视频监控协议的负载和集群管理。</w:t>
      </w:r>
    </w:p>
    <w:p w14:paraId="433186D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sz w:val="28"/>
          <w:szCs w:val="21"/>
        </w:rPr>
      </w:pPr>
      <w:r>
        <w:rPr>
          <w:rFonts w:hint="eastAsia"/>
          <w:sz w:val="28"/>
          <w:szCs w:val="21"/>
        </w:rPr>
        <w:t>11、具备满足“GA/T 1788.3-2021 公安视频图像信息系统安全技术要求 第3部分:交互安全”标准的软件测试报告。</w:t>
      </w:r>
    </w:p>
    <w:p w14:paraId="280509DF">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sz w:val="28"/>
          <w:szCs w:val="21"/>
        </w:rPr>
      </w:pPr>
      <w:r>
        <w:rPr>
          <w:rFonts w:hint="eastAsia"/>
          <w:sz w:val="28"/>
          <w:szCs w:val="21"/>
        </w:rPr>
        <w:t>12、具备满足“GB 35114-2017 公共安全视频监控联网信息安全技术要求”标准的软件测试报告。</w:t>
      </w:r>
    </w:p>
    <w:p w14:paraId="6CEFF5AA">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pPr>
      <w:r>
        <w:rPr>
          <w:rFonts w:hint="eastAsia"/>
          <w:sz w:val="28"/>
          <w:szCs w:val="21"/>
        </w:rPr>
        <w:t>13、提供3年升级授权，远程支持服务，产品保修服务，硬件故障上门支持。</w:t>
      </w:r>
    </w:p>
    <w:p w14:paraId="1D684571">
      <w:pPr>
        <w:pStyle w:val="6"/>
        <w:rPr>
          <w:lang w:eastAsia="zh-Hans"/>
        </w:rPr>
      </w:pPr>
      <w:r>
        <w:rPr>
          <w:rFonts w:hint="eastAsia"/>
          <w:lang w:val="en-US" w:eastAsia="zh-CN"/>
        </w:rPr>
        <w:t>网闸（1台）</w:t>
      </w:r>
    </w:p>
    <w:p w14:paraId="2E86114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sz w:val="28"/>
          <w:szCs w:val="21"/>
        </w:rPr>
      </w:pPr>
      <w:r>
        <w:rPr>
          <w:rFonts w:hint="eastAsia"/>
          <w:sz w:val="28"/>
          <w:szCs w:val="21"/>
        </w:rPr>
        <w:t>1、2U标准机架式硬件设备，冗余电源，内网：SATA硬盘≥4T，USB口≥2个，电管理口≥2个、千兆电口≥4个、千兆光口≥4个、接口扩展槽≥3个；外网：SATA硬盘≥4T，USB口≥2个，电管理口≥2个、千兆电口≥4个、千兆光口≥4个、接口扩展槽≥3个；吞吐量≥5.5Gbps，并发连接数≥210万。</w:t>
      </w:r>
    </w:p>
    <w:p w14:paraId="0BDE1B0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sz w:val="28"/>
          <w:szCs w:val="21"/>
        </w:rPr>
      </w:pPr>
      <w:r>
        <w:rPr>
          <w:rFonts w:hint="eastAsia"/>
          <w:sz w:val="28"/>
          <w:szCs w:val="21"/>
        </w:rPr>
        <w:t>2、设备支持代理及路由两种工作模式，管理员可依据实际网络状况进行相应的部署。</w:t>
      </w:r>
    </w:p>
    <w:p w14:paraId="2207D81A">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sz w:val="28"/>
          <w:szCs w:val="21"/>
        </w:rPr>
      </w:pPr>
      <w:r>
        <w:rPr>
          <w:rFonts w:hint="eastAsia"/>
          <w:sz w:val="28"/>
          <w:szCs w:val="21"/>
        </w:rPr>
        <w:t>3、支持文件同步功能，支持覆盖、跳过、重命名同步策略，支持全量或者增量同步方式，支持对文件服务器IP对象、端口号、用户名、密码、路径、字符集等进行配置。</w:t>
      </w:r>
    </w:p>
    <w:p w14:paraId="0E65F3C6">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sz w:val="28"/>
          <w:szCs w:val="21"/>
        </w:rPr>
      </w:pPr>
      <w:r>
        <w:rPr>
          <w:rFonts w:hint="eastAsia"/>
          <w:sz w:val="28"/>
          <w:szCs w:val="21"/>
        </w:rPr>
        <w:t>4、支持数据库同步功能，支持Oracle、SQLServer、Mysql、Sybase、DB2、Postgresql等多种主流国外数据库的同步和国产达梦数据库、人大金仓数据库的同步支持同构、异构数据库之间的同步，如Mysql同步至Oracle。</w:t>
      </w:r>
    </w:p>
    <w:p w14:paraId="5230240D">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sz w:val="28"/>
          <w:szCs w:val="21"/>
        </w:rPr>
      </w:pPr>
      <w:r>
        <w:rPr>
          <w:rFonts w:hint="eastAsia"/>
          <w:sz w:val="28"/>
          <w:szCs w:val="21"/>
        </w:rPr>
        <w:t>5、支持入侵检测功能，内置检测模板，同时可自定义模板、自定义规则，可通过授权扩展该模块。</w:t>
      </w:r>
    </w:p>
    <w:p w14:paraId="42D0F3AF">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sz w:val="28"/>
          <w:szCs w:val="21"/>
        </w:rPr>
      </w:pPr>
      <w:r>
        <w:rPr>
          <w:rFonts w:hint="eastAsia"/>
          <w:sz w:val="28"/>
          <w:szCs w:val="21"/>
        </w:rPr>
        <w:t>6、支持可视化呈现，可统计网页业务、文件服务、通用服务、文件同步、数据库同步等业务数量，统计最近一天数据库同步、文件同步任务，圆环图展示内容审计信息，包括网页、邮件、文件、数据库、远程访问等内容。</w:t>
      </w:r>
    </w:p>
    <w:p w14:paraId="0D8D5EB5">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sz w:val="28"/>
          <w:szCs w:val="21"/>
        </w:rPr>
      </w:pPr>
      <w:r>
        <w:rPr>
          <w:rFonts w:hint="eastAsia"/>
          <w:sz w:val="28"/>
          <w:szCs w:val="21"/>
        </w:rPr>
        <w:t>7、支持对协议命令进行过滤（比如对网页浏览_HTTP类型的OPTION、TRACE、GET、HEAD、DELETE、PUT、POST等命令字）；主要包括类型有网页浏览、邮件访问、文件访问、数据库访问、远程访问等。</w:t>
      </w:r>
    </w:p>
    <w:p w14:paraId="1537C13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sz w:val="28"/>
          <w:szCs w:val="21"/>
        </w:rPr>
      </w:pPr>
      <w:r>
        <w:rPr>
          <w:rFonts w:hint="eastAsia"/>
          <w:sz w:val="28"/>
          <w:szCs w:val="21"/>
        </w:rPr>
        <w:t>8、支持威胁情报检测功能，内置IP、URL、域名、样本等情报库，可通过授权扩展该模块。</w:t>
      </w:r>
    </w:p>
    <w:p w14:paraId="10CA6182">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sz w:val="28"/>
          <w:szCs w:val="21"/>
        </w:rPr>
      </w:pPr>
      <w:r>
        <w:rPr>
          <w:rFonts w:hint="eastAsia"/>
          <w:sz w:val="28"/>
          <w:szCs w:val="21"/>
        </w:rPr>
        <w:t>9、支持统一集中管理，实现实时监控管控设备状态，包括设备在线离线状态、设备名称、设备类型、设备IP地址、CPU使用率、内存使用率、CF卡/磁盘剩余空间、版本信息、流量信息等。</w:t>
      </w:r>
    </w:p>
    <w:p w14:paraId="52B03F3D">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sz w:val="28"/>
          <w:szCs w:val="21"/>
        </w:rPr>
      </w:pPr>
      <w:r>
        <w:rPr>
          <w:rFonts w:hint="eastAsia"/>
          <w:sz w:val="28"/>
          <w:szCs w:val="21"/>
        </w:rPr>
        <w:t>10、采取系统策略配置系统管理员、审计管理员和安全管理员三种角色分立的权限分配模式，用户只能维护操作本类基础管理角色的功能与操作，权限各不交叉。</w:t>
      </w:r>
    </w:p>
    <w:p w14:paraId="1D6BB2A7">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sz w:val="28"/>
          <w:szCs w:val="21"/>
        </w:rPr>
      </w:pPr>
      <w:r>
        <w:rPr>
          <w:rFonts w:hint="eastAsia"/>
          <w:sz w:val="28"/>
          <w:szCs w:val="21"/>
        </w:rPr>
        <w:t>11、支持报表任务功能,支持基于业务类型、文件名称、文件类型（html、pdf、word等）、时间（日报、周报、月报等）等进行新建报表任务。</w:t>
      </w:r>
    </w:p>
    <w:p w14:paraId="333C2828">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sz w:val="28"/>
          <w:szCs w:val="21"/>
        </w:rPr>
      </w:pPr>
      <w:r>
        <w:rPr>
          <w:rFonts w:hint="eastAsia"/>
          <w:sz w:val="28"/>
          <w:szCs w:val="21"/>
        </w:rPr>
        <w:t>12、支持报表配置自定义，报表封面LOGO、HTML报表封面LOGO、报表页眉LOGO等信息，便于项目统一管理。</w:t>
      </w:r>
    </w:p>
    <w:p w14:paraId="0FC2C6F5">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sz w:val="28"/>
          <w:szCs w:val="21"/>
        </w:rPr>
      </w:pPr>
      <w:r>
        <w:rPr>
          <w:rFonts w:hint="eastAsia"/>
          <w:sz w:val="28"/>
          <w:szCs w:val="21"/>
        </w:rPr>
        <w:t>13、支持web用户使用USBKEY</w:t>
      </w:r>
      <w:bookmarkStart w:id="37" w:name="_GoBack"/>
      <w:bookmarkEnd w:id="37"/>
      <w:r>
        <w:rPr>
          <w:rFonts w:hint="eastAsia"/>
          <w:sz w:val="28"/>
          <w:szCs w:val="21"/>
        </w:rPr>
        <w:t>认证。</w:t>
      </w:r>
    </w:p>
    <w:p w14:paraId="09BD8A4A">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sz w:val="28"/>
          <w:szCs w:val="21"/>
        </w:rPr>
      </w:pPr>
      <w:r>
        <w:rPr>
          <w:rFonts w:hint="eastAsia"/>
          <w:sz w:val="28"/>
          <w:szCs w:val="21"/>
        </w:rPr>
        <w:t>14、产品提供3年产品系统升级授权、产品保修服务、远程支持服务。</w:t>
      </w:r>
    </w:p>
    <w:p w14:paraId="07F63921">
      <w:pPr>
        <w:pStyle w:val="6"/>
        <w:rPr>
          <w:lang w:eastAsia="zh-Hans"/>
        </w:rPr>
      </w:pPr>
      <w:r>
        <w:rPr>
          <w:rFonts w:hint="eastAsia"/>
          <w:lang w:val="en-US" w:eastAsia="zh-CN"/>
        </w:rPr>
        <w:t>单向光闸（3台）</w:t>
      </w:r>
    </w:p>
    <w:p w14:paraId="4F35CADF">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sz w:val="28"/>
          <w:szCs w:val="21"/>
        </w:rPr>
      </w:pPr>
      <w:r>
        <w:rPr>
          <w:rFonts w:hint="eastAsia"/>
          <w:sz w:val="28"/>
          <w:szCs w:val="21"/>
        </w:rPr>
        <w:t>1、2U标准机架式硬件设备，采用 “2+1”系统架构，内、外网处理单元+专用光隔离部件，物理上无任何反馈信号，保证软、硬件物理单向，内网：千兆电口≥6个，千兆光口≥4个，USB口≥2个，RJ45串口≥1个，RS232接口≥1个,RS485接口≥4个；外网：千兆电口≥6个，千兆光口≥4个，USB口≥2个，RJ45串口≥1个，RS232接口≥1个,RS485接口≥4个；带液晶显示屏。</w:t>
      </w:r>
    </w:p>
    <w:p w14:paraId="77C40C35">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sz w:val="28"/>
          <w:szCs w:val="21"/>
        </w:rPr>
      </w:pPr>
      <w:r>
        <w:rPr>
          <w:rFonts w:hint="eastAsia"/>
          <w:sz w:val="28"/>
          <w:szCs w:val="21"/>
        </w:rPr>
        <w:t>2、吞吐量≥1300Mbps，并发连接数≥4万，系统延时≤0.5ms，文件传输≥100MB/s，数据库同步能力≥3000条/s，同时运行的任务数≥50。</w:t>
      </w:r>
    </w:p>
    <w:p w14:paraId="38C0B72D">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sz w:val="28"/>
          <w:szCs w:val="21"/>
        </w:rPr>
      </w:pPr>
      <w:r>
        <w:rPr>
          <w:rFonts w:hint="eastAsia"/>
          <w:sz w:val="28"/>
          <w:szCs w:val="21"/>
        </w:rPr>
        <w:t>3、支持统,主要包括文件同步、数据库同步、数据单向传输、邮件中继、防病毒功能，支持工业数据采集、转发、上报等功能。</w:t>
      </w:r>
    </w:p>
    <w:p w14:paraId="14EF6A4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sz w:val="28"/>
          <w:szCs w:val="21"/>
        </w:rPr>
      </w:pPr>
      <w:r>
        <w:rPr>
          <w:rFonts w:hint="eastAsia"/>
          <w:sz w:val="28"/>
          <w:szCs w:val="21"/>
        </w:rPr>
        <w:t>4、支持主流数据库Oracle、SQL Server 、Sybase、 MYSQL、以及国产数据库(武汉达梦、人大金仓KINGBASE、神舟通用OSCAR、南大通用GBASE)的同步 ，且对数据库所在操作系统无要求。</w:t>
      </w:r>
    </w:p>
    <w:p w14:paraId="1CB0EB08">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sz w:val="28"/>
          <w:szCs w:val="21"/>
        </w:rPr>
      </w:pPr>
      <w:r>
        <w:rPr>
          <w:rFonts w:hint="eastAsia"/>
          <w:sz w:val="28"/>
          <w:szCs w:val="21"/>
        </w:rPr>
        <w:t>5、支持SMB、FTP、SFTP、NFS等传输协议，支持用户端同步工具配合光闸使用，持LINUX、WINDOWS、UNIX等多种系统平台。</w:t>
      </w:r>
    </w:p>
    <w:p w14:paraId="43E5FFA3">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sz w:val="28"/>
          <w:szCs w:val="21"/>
        </w:rPr>
      </w:pPr>
      <w:r>
        <w:rPr>
          <w:rFonts w:hint="eastAsia"/>
          <w:sz w:val="28"/>
          <w:szCs w:val="21"/>
        </w:rPr>
        <w:t>6、支持数据库的字段级同步，可以自由选择需要交换的数据表中字段，支持条件过滤，源端数据可以按照一定的特定条件进行交换，支持采用 WHERE语句编程。</w:t>
      </w:r>
    </w:p>
    <w:p w14:paraId="5C4497C2">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sz w:val="28"/>
          <w:szCs w:val="21"/>
        </w:rPr>
      </w:pPr>
      <w:r>
        <w:rPr>
          <w:rFonts w:hint="eastAsia"/>
          <w:sz w:val="28"/>
          <w:szCs w:val="21"/>
        </w:rPr>
        <w:t>7、支持本地/远程FTP、SMB、NFS等工作模式，支持强制访问控制，具备强制访问标志自定义、具备上传/下载安全等级分组、具备FTP命令黑白名单过滤。</w:t>
      </w:r>
    </w:p>
    <w:p w14:paraId="00DA9C3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sz w:val="28"/>
          <w:szCs w:val="21"/>
        </w:rPr>
      </w:pPr>
      <w:r>
        <w:rPr>
          <w:rFonts w:hint="eastAsia"/>
          <w:sz w:val="28"/>
          <w:szCs w:val="21"/>
        </w:rPr>
        <w:t>8、支持Txt、AVI、Bak、Bat、BMP、BWF、Dll、Doc、Docx、Excel、Exe、MP3、PDF、PPT、PPTX、XML、Zip、WMA、Wps等文件特征过滤、具备文件特征智能识别功能，能针对新的特征文件进行系统自动学习和识别；具备文件名和文件内容过滤；具备文件大小、文件病毒过滤。</w:t>
      </w:r>
    </w:p>
    <w:p w14:paraId="65978836">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sz w:val="28"/>
          <w:szCs w:val="21"/>
        </w:rPr>
      </w:pPr>
      <w:r>
        <w:rPr>
          <w:rFonts w:hint="eastAsia"/>
          <w:sz w:val="28"/>
          <w:szCs w:val="21"/>
        </w:rPr>
        <w:t>9、支持SMTP、POP3协议邮件中继。</w:t>
      </w:r>
    </w:p>
    <w:p w14:paraId="7C0EEB9B">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sz w:val="28"/>
          <w:szCs w:val="21"/>
        </w:rPr>
      </w:pPr>
      <w:r>
        <w:rPr>
          <w:rFonts w:hint="eastAsia"/>
          <w:sz w:val="28"/>
          <w:szCs w:val="21"/>
        </w:rPr>
        <w:t>10、具备本地访问控制功能，能对协议类型、源IP、本地IP、源端口、本地端口动作等进行限制。</w:t>
      </w:r>
    </w:p>
    <w:p w14:paraId="1E4CB1F1">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sz w:val="28"/>
          <w:szCs w:val="21"/>
        </w:rPr>
      </w:pPr>
      <w:r>
        <w:rPr>
          <w:rFonts w:hint="eastAsia"/>
          <w:sz w:val="28"/>
          <w:szCs w:val="21"/>
        </w:rPr>
        <w:t>11、支持设置冗余传输次数，传输次数范围 1-10，多次传输，降低数据丢失的风险。</w:t>
      </w:r>
    </w:p>
    <w:p w14:paraId="4D581C11">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sz w:val="28"/>
          <w:szCs w:val="21"/>
        </w:rPr>
      </w:pPr>
      <w:r>
        <w:rPr>
          <w:rFonts w:hint="eastAsia"/>
          <w:sz w:val="28"/>
          <w:szCs w:val="21"/>
        </w:rPr>
        <w:t>12、支持与数据交换系统联动，支持视频信令、视频流分开独立设备传输。</w:t>
      </w:r>
    </w:p>
    <w:p w14:paraId="2B7708EF">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sz w:val="28"/>
          <w:szCs w:val="21"/>
        </w:rPr>
      </w:pPr>
      <w:r>
        <w:rPr>
          <w:rFonts w:hint="eastAsia"/>
          <w:sz w:val="28"/>
          <w:szCs w:val="21"/>
        </w:rPr>
        <w:t>13、日志存储时间大于180天；提供多种日志，条件查询，支持日志筛选、查看，并支持以log文本格式导出到本地；提供syslog与SNMP日志服务接口。</w:t>
      </w:r>
    </w:p>
    <w:p w14:paraId="021AA252">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pPr>
      <w:r>
        <w:rPr>
          <w:rFonts w:hint="eastAsia"/>
          <w:sz w:val="28"/>
          <w:szCs w:val="21"/>
        </w:rPr>
        <w:t>14、产品提供3年产品系统升级授权、产品保修服务、远程支持服务。</w:t>
      </w:r>
    </w:p>
    <w:p w14:paraId="196ADF2C">
      <w:pPr>
        <w:pStyle w:val="6"/>
        <w:rPr>
          <w:lang w:eastAsia="zh-Hans"/>
        </w:rPr>
      </w:pPr>
      <w:r>
        <w:rPr>
          <w:rFonts w:hint="eastAsia"/>
          <w:lang w:val="en-US" w:eastAsia="zh-CN"/>
        </w:rPr>
        <w:t>入侵检测（3台）</w:t>
      </w:r>
    </w:p>
    <w:p w14:paraId="04ECECD2">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sz w:val="28"/>
          <w:szCs w:val="21"/>
        </w:rPr>
      </w:pPr>
      <w:r>
        <w:rPr>
          <w:rFonts w:hint="eastAsia"/>
          <w:sz w:val="28"/>
          <w:szCs w:val="21"/>
        </w:rPr>
        <w:t>1、1U标准式机架硬件设备，含交流冗余电源，配备管理口≥1个、RJ45串口≥1个、千兆电口≥6个、千兆光口≥4个，扩展插槽位≥2个，硬盘≥4T。</w:t>
      </w:r>
    </w:p>
    <w:p w14:paraId="2373A79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sz w:val="28"/>
          <w:szCs w:val="21"/>
        </w:rPr>
      </w:pPr>
      <w:r>
        <w:rPr>
          <w:rFonts w:hint="eastAsia"/>
          <w:sz w:val="28"/>
          <w:szCs w:val="21"/>
        </w:rPr>
        <w:t>2、采用国产化处理器和国产操作系统，CPU：内核≥8核、主频≥2.3GHz，内存≥32GB，满检速率≥9800Mbps，TCP并发连接数≥1000万。</w:t>
      </w:r>
    </w:p>
    <w:p w14:paraId="014255D3">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sz w:val="28"/>
          <w:szCs w:val="21"/>
        </w:rPr>
      </w:pPr>
      <w:r>
        <w:rPr>
          <w:rFonts w:hint="eastAsia"/>
          <w:sz w:val="28"/>
          <w:szCs w:val="21"/>
        </w:rPr>
        <w:t>3、系统应提供覆盖广泛的攻击特征库，可针对网络病毒、蠕虫、间谍软件、木马后门、扫描探测、暴力破解等恶意流量进行检测和阻断，攻击特征库数量至少为10000种以上，获得CVE-Compatible兼容性认证。</w:t>
      </w:r>
    </w:p>
    <w:p w14:paraId="1A8E353D">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sz w:val="28"/>
          <w:szCs w:val="21"/>
        </w:rPr>
      </w:pPr>
      <w:r>
        <w:rPr>
          <w:rFonts w:hint="eastAsia"/>
          <w:sz w:val="28"/>
          <w:szCs w:val="21"/>
        </w:rPr>
        <w:t>4、系统支持手动添加非法IP、域名、到黑名单的功能。</w:t>
      </w:r>
    </w:p>
    <w:p w14:paraId="62A8F12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sz w:val="28"/>
          <w:szCs w:val="21"/>
        </w:rPr>
      </w:pPr>
      <w:r>
        <w:rPr>
          <w:rFonts w:hint="eastAsia"/>
          <w:sz w:val="28"/>
          <w:szCs w:val="21"/>
        </w:rPr>
        <w:t>5、支持基于SCADA等工控协议的相关漏洞攻击检测。</w:t>
      </w:r>
    </w:p>
    <w:p w14:paraId="077D16E1">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sz w:val="28"/>
          <w:szCs w:val="21"/>
        </w:rPr>
      </w:pPr>
      <w:r>
        <w:rPr>
          <w:rFonts w:hint="eastAsia"/>
          <w:sz w:val="28"/>
          <w:szCs w:val="21"/>
        </w:rPr>
        <w:t>6、系统需提供至少五种以上内置规则模板，帮助用户快速上线。如DMZ区服务器、内网客户端、Web服务器、Windows服务器、UNIX服务器防护等规则模板，并可根据内置规则模板直接派生模板。</w:t>
      </w:r>
    </w:p>
    <w:p w14:paraId="1C79AD6D">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sz w:val="28"/>
          <w:szCs w:val="21"/>
        </w:rPr>
      </w:pPr>
      <w:r>
        <w:rPr>
          <w:rFonts w:hint="eastAsia"/>
          <w:sz w:val="28"/>
          <w:szCs w:val="21"/>
        </w:rPr>
        <w:t>7、系统须支持IPv6/IPv4双协议栈功能，能同时辨识IPv4和IPv6通讯流量。支持IPv6环境下攻击检测技术和基于IPv6地址格式的安全控制策略，为IPv6环境提供入侵检测。</w:t>
      </w:r>
    </w:p>
    <w:p w14:paraId="4CFC1F83">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sz w:val="28"/>
          <w:szCs w:val="21"/>
        </w:rPr>
      </w:pPr>
      <w:r>
        <w:rPr>
          <w:rFonts w:hint="eastAsia"/>
          <w:sz w:val="28"/>
          <w:szCs w:val="21"/>
        </w:rPr>
        <w:t>8、系统应具备用户身份识别能力，支持基于用户身份进行策略配置、日志记录与查询；支持自动与手动获取用户信息列表并生成组织结构图。</w:t>
      </w:r>
    </w:p>
    <w:p w14:paraId="69BB33FB">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sz w:val="28"/>
          <w:szCs w:val="21"/>
        </w:rPr>
      </w:pPr>
      <w:r>
        <w:rPr>
          <w:rFonts w:hint="eastAsia"/>
          <w:sz w:val="28"/>
          <w:szCs w:val="21"/>
        </w:rPr>
        <w:t>9、系统应具备实时的日志归并功能，可以根据用户需要，按照告警事件的源/目的IP、事件类型等信息，对告警日志执行归并，有效抵御告警风暴。</w:t>
      </w:r>
    </w:p>
    <w:p w14:paraId="544FBEBB">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sz w:val="28"/>
          <w:szCs w:val="21"/>
        </w:rPr>
      </w:pPr>
      <w:r>
        <w:rPr>
          <w:rFonts w:hint="eastAsia"/>
          <w:sz w:val="28"/>
          <w:szCs w:val="21"/>
        </w:rPr>
        <w:t>10、系统应提供DoS/DDoS攻击检测能力，支持PING/UDP/SYN /ACK/DNS Request/DNS Reply Flooding，TCP/UDP PortScan，Ping Sweep，ARP Spoof，HTTP Get/HTTP Post Flood等常见的DoS/DDoS的攻击。</w:t>
      </w:r>
    </w:p>
    <w:p w14:paraId="3A32F560">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sz w:val="28"/>
          <w:szCs w:val="21"/>
        </w:rPr>
      </w:pPr>
      <w:r>
        <w:rPr>
          <w:rFonts w:hint="eastAsia"/>
          <w:sz w:val="28"/>
          <w:szCs w:val="21"/>
        </w:rPr>
        <w:t>11、系统应提供服务器异常告警功能，可以手动添加或自学习服务器外联行为，并以此为基线检测服务器非法外联行为。</w:t>
      </w:r>
    </w:p>
    <w:p w14:paraId="560C2005">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sz w:val="28"/>
          <w:szCs w:val="21"/>
        </w:rPr>
      </w:pPr>
      <w:r>
        <w:rPr>
          <w:rFonts w:hint="eastAsia"/>
          <w:sz w:val="28"/>
          <w:szCs w:val="21"/>
        </w:rPr>
        <w:t>12、系统应提供入侵行为特征的自定义接口，可根据用户需求定制相应的检测规则。</w:t>
      </w:r>
    </w:p>
    <w:p w14:paraId="111D90AE">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sz w:val="28"/>
          <w:szCs w:val="21"/>
        </w:rPr>
      </w:pPr>
      <w:r>
        <w:rPr>
          <w:rFonts w:hint="eastAsia"/>
          <w:sz w:val="28"/>
          <w:szCs w:val="21"/>
        </w:rPr>
        <w:t>13、提供入侵检测功能模块，3年升级授权，远程支持服务，产品保修服务，硬件故障上门支持。</w:t>
      </w:r>
    </w:p>
    <w:p w14:paraId="5092AA03">
      <w:pPr>
        <w:pStyle w:val="6"/>
        <w:rPr>
          <w:lang w:eastAsia="zh-Hans"/>
        </w:rPr>
      </w:pPr>
      <w:r>
        <w:rPr>
          <w:rFonts w:hint="eastAsia"/>
          <w:lang w:val="en-US" w:eastAsia="zh-CN"/>
        </w:rPr>
        <w:t>数据防泄漏（3台）</w:t>
      </w:r>
    </w:p>
    <w:p w14:paraId="42FD8E9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sz w:val="28"/>
          <w:szCs w:val="21"/>
        </w:rPr>
      </w:pPr>
      <w:r>
        <w:rPr>
          <w:rFonts w:hint="eastAsia"/>
          <w:sz w:val="28"/>
          <w:szCs w:val="21"/>
        </w:rPr>
        <w:t>1、2U标准式机架硬件设备，含交流冗余电源，配备管理口≥1个、USB接口≥4个、千兆电口≥3个、千兆光口≥2个，扩展插槽位≥3个，硬盘≥4T。</w:t>
      </w:r>
    </w:p>
    <w:p w14:paraId="5C1B9FC8">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sz w:val="28"/>
          <w:szCs w:val="21"/>
        </w:rPr>
      </w:pPr>
      <w:r>
        <w:rPr>
          <w:rFonts w:hint="eastAsia"/>
          <w:sz w:val="28"/>
          <w:szCs w:val="21"/>
        </w:rPr>
        <w:t>2、网络流量处理性能≥500Mbps，邮件处理能力≥28万封/天，文件扫描识别能力≥24G/小时，数据库扫描识别能力≥240万条/小时，入库量≥5000条/秒。</w:t>
      </w:r>
    </w:p>
    <w:p w14:paraId="591AFFC3">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sz w:val="28"/>
          <w:szCs w:val="21"/>
        </w:rPr>
      </w:pPr>
      <w:r>
        <w:rPr>
          <w:rFonts w:hint="eastAsia"/>
          <w:sz w:val="28"/>
          <w:szCs w:val="21"/>
        </w:rPr>
        <w:t>3、支持旁路部署、串路部署、一体机部署、虚拟化云部署（软探针Agent）、代理部署（支持ICAP模式）。</w:t>
      </w:r>
    </w:p>
    <w:p w14:paraId="455B1D7A">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sz w:val="28"/>
          <w:szCs w:val="21"/>
        </w:rPr>
      </w:pPr>
      <w:r>
        <w:rPr>
          <w:rFonts w:hint="eastAsia"/>
          <w:sz w:val="28"/>
          <w:szCs w:val="21"/>
        </w:rPr>
        <w:t>4、具备内容识别功能，支持按正则表达式对文字内容进行识别，内置身份证、手机号、银行卡号、固定电话、邮件地址等正则表达式规则，方便策略引用。</w:t>
      </w:r>
    </w:p>
    <w:p w14:paraId="47B72D86">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sz w:val="28"/>
          <w:szCs w:val="21"/>
        </w:rPr>
      </w:pPr>
      <w:r>
        <w:rPr>
          <w:rFonts w:hint="eastAsia"/>
          <w:sz w:val="28"/>
          <w:szCs w:val="21"/>
        </w:rPr>
        <w:t>5、支持关键词，多关键词组合形式的内容检测；支持关键词权重，至少命中次数，与或等复杂规则组合形式；支持忽略中文简繁体、英文大小写，恶意混淆等方式；支持英文、日韩语、或其他小语种的语言。</w:t>
      </w:r>
    </w:p>
    <w:p w14:paraId="6B596630">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sz w:val="28"/>
          <w:szCs w:val="21"/>
        </w:rPr>
      </w:pPr>
      <w:r>
        <w:rPr>
          <w:rFonts w:hint="eastAsia"/>
          <w:sz w:val="28"/>
          <w:szCs w:val="21"/>
        </w:rPr>
        <w:t>6、支持办公类、文本类、图片类、压缩包类、音视频类、源代码类、图纸类等常见文件类型识别 （如： doc、docx、xls、xlsx、ppt、pptx、rtf、pdf、txt、html、xml、rar、zip、tar、gzip、7z、iso 等常见的文档类型解析和内容提取）。</w:t>
      </w:r>
    </w:p>
    <w:p w14:paraId="72CC38B8">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sz w:val="28"/>
          <w:szCs w:val="21"/>
        </w:rPr>
      </w:pPr>
      <w:r>
        <w:rPr>
          <w:rFonts w:hint="eastAsia"/>
          <w:sz w:val="28"/>
          <w:szCs w:val="21"/>
        </w:rPr>
        <w:t>7、支持自定义格式文件类型的识别；支持上传文件自动生成/识别文件类型。</w:t>
      </w:r>
    </w:p>
    <w:p w14:paraId="0839E9AE">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sz w:val="28"/>
          <w:szCs w:val="21"/>
        </w:rPr>
      </w:pPr>
      <w:r>
        <w:rPr>
          <w:rFonts w:hint="eastAsia"/>
          <w:sz w:val="28"/>
          <w:szCs w:val="21"/>
        </w:rPr>
        <w:t>8、支持标准 HTTP（HTTPGET，HTTPPOST）、EMAIL（SMTP、POP3、IMAP、Exchange）、FTP（SMB1、SMB2）、OPC、modbus等协议识别。</w:t>
      </w:r>
    </w:p>
    <w:p w14:paraId="1E2C7E4E">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sz w:val="28"/>
          <w:szCs w:val="21"/>
        </w:rPr>
      </w:pPr>
      <w:r>
        <w:rPr>
          <w:rFonts w:hint="eastAsia"/>
          <w:sz w:val="28"/>
          <w:szCs w:val="21"/>
        </w:rPr>
        <w:t>9、支持OCR引擎，对网络外发的图片内容进行提取与识别（如：jpg、bmp、png、tiff、gif、dwg 等常见图片）。</w:t>
      </w:r>
    </w:p>
    <w:p w14:paraId="3779203F">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sz w:val="28"/>
          <w:szCs w:val="21"/>
        </w:rPr>
      </w:pPr>
      <w:r>
        <w:rPr>
          <w:rFonts w:hint="eastAsia"/>
          <w:sz w:val="28"/>
          <w:szCs w:val="21"/>
        </w:rPr>
        <w:t>10、支持伪装文件类型格式识别，如更改文件后缀仍可识别真实文件类型(如将“文件.doc”修改为“文件.dat”)。</w:t>
      </w:r>
    </w:p>
    <w:p w14:paraId="48A9548E">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sz w:val="28"/>
          <w:szCs w:val="21"/>
        </w:rPr>
      </w:pPr>
      <w:r>
        <w:rPr>
          <w:rFonts w:hint="eastAsia"/>
          <w:sz w:val="28"/>
          <w:szCs w:val="21"/>
        </w:rPr>
        <w:t>11、支持数据库访问结果集审计，MySQL、Oracle、SQL Server、Postgresql、DB2、Sybase、Hbase；支持解析访问数据库返回的结果集，并依策略对敏感数据识别匹配。</w:t>
      </w:r>
    </w:p>
    <w:p w14:paraId="63E8367E">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sz w:val="28"/>
          <w:szCs w:val="21"/>
        </w:rPr>
      </w:pPr>
      <w:r>
        <w:rPr>
          <w:rFonts w:hint="eastAsia"/>
          <w:sz w:val="28"/>
          <w:szCs w:val="21"/>
        </w:rPr>
        <w:t>12、支持文档溯源，文件记录MD5，根据MD5值可进行文件溯源查询。</w:t>
      </w:r>
    </w:p>
    <w:p w14:paraId="5CEC384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sz w:val="28"/>
          <w:szCs w:val="21"/>
        </w:rPr>
      </w:pPr>
      <w:r>
        <w:rPr>
          <w:rFonts w:hint="eastAsia"/>
          <w:sz w:val="28"/>
          <w:szCs w:val="21"/>
        </w:rPr>
        <w:t>13、支持选择不同的策略，对策略命中数据进行差异对比，以此进行策略设置调优。</w:t>
      </w:r>
    </w:p>
    <w:p w14:paraId="52BCEF4E">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sz w:val="28"/>
          <w:szCs w:val="21"/>
        </w:rPr>
      </w:pPr>
      <w:r>
        <w:rPr>
          <w:rFonts w:hint="eastAsia"/>
          <w:sz w:val="28"/>
          <w:szCs w:val="21"/>
        </w:rPr>
        <w:t>14、提供3年产品升级授权、远程支持服务、产品保修服务、硬件故障上门支持。</w:t>
      </w:r>
    </w:p>
    <w:p w14:paraId="0D70BBB2">
      <w:pPr>
        <w:pStyle w:val="6"/>
        <w:rPr>
          <w:lang w:eastAsia="zh-Hans"/>
        </w:rPr>
      </w:pPr>
      <w:r>
        <w:rPr>
          <w:rFonts w:hint="eastAsia"/>
          <w:lang w:val="en-US" w:eastAsia="zh-CN"/>
        </w:rPr>
        <w:t>集控探针（3台）</w:t>
      </w:r>
    </w:p>
    <w:p w14:paraId="5B44097B">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sz w:val="28"/>
          <w:szCs w:val="21"/>
        </w:rPr>
      </w:pPr>
      <w:r>
        <w:rPr>
          <w:rFonts w:hint="eastAsia"/>
          <w:sz w:val="28"/>
          <w:szCs w:val="21"/>
        </w:rPr>
        <w:t>1、1U标准式机架硬件设备，含交流冗余电源，配备RJ45串口≥1个、USB接口≥1个、千兆电口≥6个，内存≥16G，SSD硬盘≥512GB。</w:t>
      </w:r>
    </w:p>
    <w:p w14:paraId="71CFD401">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sz w:val="28"/>
          <w:szCs w:val="21"/>
        </w:rPr>
      </w:pPr>
      <w:r>
        <w:rPr>
          <w:rFonts w:hint="eastAsia"/>
          <w:sz w:val="28"/>
          <w:szCs w:val="21"/>
        </w:rPr>
        <w:t>2、支持设备数据采集功能，数据采集性能≥4000条/s。</w:t>
      </w:r>
    </w:p>
    <w:p w14:paraId="4E3DC86A">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sz w:val="28"/>
          <w:szCs w:val="21"/>
        </w:rPr>
      </w:pPr>
      <w:r>
        <w:rPr>
          <w:rFonts w:hint="eastAsia"/>
          <w:sz w:val="28"/>
          <w:szCs w:val="21"/>
        </w:rPr>
        <w:t>3、具有SNMP采集、SYSLOG收集、应用交换日志、交换日志统计、系统操作日志等功能。</w:t>
      </w:r>
    </w:p>
    <w:p w14:paraId="04EB509B">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sz w:val="28"/>
          <w:szCs w:val="21"/>
        </w:rPr>
      </w:pPr>
      <w:r>
        <w:rPr>
          <w:rFonts w:hint="eastAsia"/>
          <w:sz w:val="28"/>
          <w:szCs w:val="21"/>
        </w:rPr>
        <w:t>4、系统可接收被管设备的SNMP trap信息，用于接收业务日志、设备运行信息等；支持SNMP V2和V3版本。</w:t>
      </w:r>
    </w:p>
    <w:p w14:paraId="4762EAFE">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sz w:val="28"/>
          <w:szCs w:val="21"/>
        </w:rPr>
      </w:pPr>
      <w:r>
        <w:rPr>
          <w:rFonts w:hint="eastAsia"/>
          <w:sz w:val="28"/>
          <w:szCs w:val="21"/>
        </w:rPr>
        <w:t>5、系统可接收被管设备的SYSLOG日志信息，用于接收操作日志、非标准格式日志等</w:t>
      </w:r>
    </w:p>
    <w:p w14:paraId="123BA353">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sz w:val="28"/>
          <w:szCs w:val="21"/>
        </w:rPr>
      </w:pPr>
      <w:r>
        <w:rPr>
          <w:rFonts w:hint="eastAsia"/>
          <w:sz w:val="28"/>
          <w:szCs w:val="21"/>
        </w:rPr>
        <w:t>6、系统支持接收被管设备基于Agent组件集成的运行信息数据，包括cpu利用率、内存利用率、磁盘利用率、接口流量等。</w:t>
      </w:r>
    </w:p>
    <w:p w14:paraId="7E4A1D35">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sz w:val="28"/>
          <w:szCs w:val="21"/>
        </w:rPr>
      </w:pPr>
      <w:r>
        <w:rPr>
          <w:rFonts w:hint="eastAsia"/>
          <w:sz w:val="28"/>
          <w:szCs w:val="21"/>
        </w:rPr>
        <w:t>7、提供3年产品升级授权、远程支持服务、产品保修服务、硬件故障上门支持。</w:t>
      </w:r>
    </w:p>
    <w:p w14:paraId="73DE46EE">
      <w:pPr>
        <w:pStyle w:val="6"/>
        <w:rPr>
          <w:lang w:eastAsia="zh-Hans"/>
        </w:rPr>
      </w:pPr>
      <w:r>
        <w:rPr>
          <w:rFonts w:hint="eastAsia"/>
          <w:lang w:val="en-US" w:eastAsia="zh-CN"/>
        </w:rPr>
        <w:t>集中监控系统（1台）</w:t>
      </w:r>
    </w:p>
    <w:p w14:paraId="3DDFF973">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sz w:val="28"/>
          <w:szCs w:val="21"/>
        </w:rPr>
      </w:pPr>
      <w:r>
        <w:rPr>
          <w:rFonts w:hint="eastAsia"/>
          <w:sz w:val="28"/>
          <w:szCs w:val="21"/>
        </w:rPr>
        <w:t>1、1U标准式机架硬件设备，含交流冗余电源，配备RJ45串口≥1个、USB接口≥1个、千兆电口≥6个，内存≥16G，SSD硬盘≥512GB。</w:t>
      </w:r>
    </w:p>
    <w:p w14:paraId="678A6C1A">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sz w:val="28"/>
          <w:szCs w:val="21"/>
        </w:rPr>
      </w:pPr>
      <w:r>
        <w:rPr>
          <w:rFonts w:hint="eastAsia"/>
          <w:sz w:val="28"/>
          <w:szCs w:val="21"/>
        </w:rPr>
        <w:t>2、具有业务侦测、设备自身管理、拓扑管理、日志管理等功能。</w:t>
      </w:r>
    </w:p>
    <w:p w14:paraId="7B08BAF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sz w:val="28"/>
          <w:szCs w:val="21"/>
        </w:rPr>
      </w:pPr>
      <w:r>
        <w:rPr>
          <w:rFonts w:hint="eastAsia"/>
          <w:sz w:val="28"/>
          <w:szCs w:val="21"/>
        </w:rPr>
        <w:t>3、支持标准Syslog trap和Syslog端口自定义。</w:t>
      </w:r>
    </w:p>
    <w:p w14:paraId="1DDABF21">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sz w:val="28"/>
          <w:szCs w:val="21"/>
        </w:rPr>
      </w:pPr>
      <w:r>
        <w:rPr>
          <w:rFonts w:hint="eastAsia"/>
          <w:sz w:val="28"/>
          <w:szCs w:val="21"/>
        </w:rPr>
        <w:t>4、支持对内部链路管理，包括了对接入链路的新增、修改、删除、查看操作。</w:t>
      </w:r>
    </w:p>
    <w:p w14:paraId="1ED0C2BB">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sz w:val="28"/>
          <w:szCs w:val="21"/>
        </w:rPr>
      </w:pPr>
      <w:r>
        <w:rPr>
          <w:rFonts w:hint="eastAsia"/>
          <w:sz w:val="28"/>
          <w:szCs w:val="21"/>
        </w:rPr>
        <w:t>5、支持级联上报。</w:t>
      </w:r>
    </w:p>
    <w:p w14:paraId="7314D163">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sz w:val="28"/>
          <w:szCs w:val="21"/>
        </w:rPr>
      </w:pPr>
      <w:r>
        <w:rPr>
          <w:rFonts w:hint="eastAsia"/>
          <w:sz w:val="28"/>
          <w:szCs w:val="21"/>
        </w:rPr>
        <w:t>6、支持对业务类型、设备状态以及数据的统计进行直观查询。可在首页查看所有接入设备的在线离线状态。</w:t>
      </w:r>
    </w:p>
    <w:p w14:paraId="11D9CD6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sz w:val="28"/>
          <w:szCs w:val="21"/>
        </w:rPr>
      </w:pPr>
      <w:r>
        <w:rPr>
          <w:rFonts w:hint="eastAsia"/>
          <w:sz w:val="28"/>
          <w:szCs w:val="21"/>
        </w:rPr>
        <w:t>7、支持被管设备资源池的监控功能，可实时提供目标设备的CPU、磁盘、内存、网络的详细使用情况（每个应用进程的消耗情况）。</w:t>
      </w:r>
    </w:p>
    <w:p w14:paraId="494ECF26">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sz w:val="28"/>
          <w:szCs w:val="21"/>
        </w:rPr>
      </w:pPr>
      <w:r>
        <w:rPr>
          <w:rFonts w:hint="eastAsia"/>
          <w:sz w:val="28"/>
          <w:szCs w:val="21"/>
        </w:rPr>
        <w:t>8、提供3年产品升级授权、远程支持服务、产品保修服务、硬件故障上门支持。</w:t>
      </w:r>
    </w:p>
    <w:p w14:paraId="586E2043">
      <w:pPr>
        <w:pStyle w:val="6"/>
        <w:rPr>
          <w:lang w:eastAsia="zh-Hans"/>
        </w:rPr>
      </w:pPr>
      <w:r>
        <w:rPr>
          <w:rFonts w:hint="eastAsia"/>
          <w:lang w:val="en-US" w:eastAsia="zh-CN"/>
        </w:rPr>
        <w:t>安全边界接入网关（3台）</w:t>
      </w:r>
    </w:p>
    <w:p w14:paraId="08086782">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sz w:val="28"/>
          <w:szCs w:val="21"/>
        </w:rPr>
      </w:pPr>
      <w:r>
        <w:rPr>
          <w:rFonts w:hint="eastAsia"/>
          <w:sz w:val="28"/>
          <w:szCs w:val="21"/>
        </w:rPr>
        <w:t>1、1U标准式机架硬件设备，含交流单电源，配备RJ45串口≥1个、USB口≥2个、管理口≥2个、千兆电口≥6个、千兆光口≥4个，扩展插槽位≥2个，SATA硬盘≥4T、SSD硬盘≥128G。</w:t>
      </w:r>
    </w:p>
    <w:p w14:paraId="74228C0B">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sz w:val="28"/>
          <w:szCs w:val="21"/>
        </w:rPr>
      </w:pPr>
      <w:r>
        <w:rPr>
          <w:rFonts w:hint="eastAsia"/>
          <w:sz w:val="28"/>
          <w:szCs w:val="21"/>
        </w:rPr>
        <w:t>2、HTTPS吞吐量≥2Gbps，最大并发连接数≥6000，每秒新建连接数≥10000，每秒新建用户数≥500，实配授权最大并发在线用户数≥500。</w:t>
      </w:r>
    </w:p>
    <w:p w14:paraId="06E97970">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sz w:val="28"/>
          <w:szCs w:val="21"/>
        </w:rPr>
      </w:pPr>
      <w:r>
        <w:rPr>
          <w:rFonts w:hint="eastAsia"/>
          <w:sz w:val="28"/>
          <w:szCs w:val="21"/>
        </w:rPr>
        <w:t>3、支持HA高可用、集群部署模式，以提高业务访问稳定性；客户端支持主流PC、移动端操作系统，包括Windows、MacOS、IOS、Android、Linux等；移动客户端支持Android, IOS SDK，并支持通过管理后台获得标准SDK、对接指导手册和demo样例。</w:t>
      </w:r>
    </w:p>
    <w:p w14:paraId="6B6A9F5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sz w:val="28"/>
          <w:szCs w:val="21"/>
        </w:rPr>
      </w:pPr>
      <w:r>
        <w:rPr>
          <w:rFonts w:hint="eastAsia"/>
          <w:sz w:val="28"/>
          <w:szCs w:val="21"/>
        </w:rPr>
        <w:t>4、支持网关集群的流量负载均衡，以提高网关响应速度，解决网络拥塞问题，达到高质量的网络访问效果。</w:t>
      </w:r>
    </w:p>
    <w:p w14:paraId="041F4EAB">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sz w:val="28"/>
          <w:szCs w:val="21"/>
        </w:rPr>
      </w:pPr>
      <w:r>
        <w:rPr>
          <w:rFonts w:hint="eastAsia"/>
          <w:sz w:val="28"/>
          <w:szCs w:val="21"/>
        </w:rPr>
        <w:t>5、支持客户端环境感知功能，支持客户端基础信息收集和上报，包括PC主机名/CPU/内存/操作系统/网卡/主板信息等信息，支持磁盘信息、进程信息、网络访问、补丁、终端软件等信息采集。</w:t>
      </w:r>
    </w:p>
    <w:p w14:paraId="44CBDAB8">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sz w:val="28"/>
          <w:szCs w:val="21"/>
        </w:rPr>
      </w:pPr>
      <w:r>
        <w:rPr>
          <w:rFonts w:hint="eastAsia"/>
          <w:sz w:val="28"/>
          <w:szCs w:val="21"/>
        </w:rPr>
        <w:t>6、支持用户通过客户端及Web门户修改密码/PIN码，在管理员通过管理界面配置允许进行短信或邮件进行密码/PIN码更改后，用户自助在客户端通过验证可修改密码，以减轻管理员日常管理工作。</w:t>
      </w:r>
    </w:p>
    <w:p w14:paraId="121B56A2">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sz w:val="28"/>
          <w:szCs w:val="21"/>
        </w:rPr>
      </w:pPr>
      <w:r>
        <w:rPr>
          <w:rFonts w:hint="eastAsia"/>
          <w:sz w:val="28"/>
          <w:szCs w:val="21"/>
        </w:rPr>
        <w:t>7、移动端支持导出终端认证日志，可通过协同工具发送给技术支持人员进行终端故障定位及排查。</w:t>
      </w:r>
    </w:p>
    <w:p w14:paraId="5721B07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sz w:val="28"/>
          <w:szCs w:val="21"/>
        </w:rPr>
      </w:pPr>
      <w:r>
        <w:rPr>
          <w:rFonts w:hint="eastAsia"/>
          <w:sz w:val="28"/>
          <w:szCs w:val="21"/>
        </w:rPr>
        <w:t>8、 支持通过SDP模式代理C/S或通过非http/https类协议通信的应用，支持在代理通信中通过双向TLS加密传输。</w:t>
      </w:r>
    </w:p>
    <w:p w14:paraId="06277AA0">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sz w:val="28"/>
          <w:szCs w:val="21"/>
        </w:rPr>
      </w:pPr>
      <w:r>
        <w:rPr>
          <w:rFonts w:hint="eastAsia"/>
          <w:sz w:val="28"/>
          <w:szCs w:val="21"/>
        </w:rPr>
        <w:t>9、支持账户自定义属性管理，可为组织提供个性化账户属性配置及管理，系统缺省提供默认账户属性，管理员可根据本组织需要进行自定义角色配置，以为不同角色进行授权。</w:t>
      </w:r>
    </w:p>
    <w:p w14:paraId="6524761D">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sz w:val="28"/>
          <w:szCs w:val="21"/>
        </w:rPr>
      </w:pPr>
      <w:r>
        <w:rPr>
          <w:rFonts w:hint="eastAsia"/>
          <w:sz w:val="28"/>
          <w:szCs w:val="21"/>
        </w:rPr>
        <w:t>10、支持对用户认证访问及风险情况进行概览展示，展示项包括但不限于：在线用户、终端等总览信息，用户风险情况统计排行、认证/授权情况TOP排行。</w:t>
      </w:r>
    </w:p>
    <w:p w14:paraId="5916A7B5">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sz w:val="28"/>
          <w:szCs w:val="21"/>
        </w:rPr>
      </w:pPr>
      <w:r>
        <w:rPr>
          <w:rFonts w:hint="eastAsia"/>
          <w:sz w:val="28"/>
          <w:szCs w:val="21"/>
        </w:rPr>
        <w:t>11、支持对所授权应用在WEB门户、电脑客户端、移动客户端分别进行展示配置，可配置特定应用仅通过电脑客户端展示，不展示在WEB门户及移动端。</w:t>
      </w:r>
    </w:p>
    <w:p w14:paraId="44A40E46">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sz w:val="28"/>
          <w:szCs w:val="21"/>
        </w:rPr>
      </w:pPr>
      <w:r>
        <w:rPr>
          <w:rFonts w:hint="eastAsia"/>
          <w:sz w:val="28"/>
          <w:szCs w:val="21"/>
        </w:rPr>
        <w:t>12、支持为B/S应用上传国密证书，以支持国密加解密通信。</w:t>
      </w:r>
    </w:p>
    <w:p w14:paraId="24FD11E0">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sz w:val="28"/>
          <w:szCs w:val="21"/>
        </w:rPr>
      </w:pPr>
      <w:r>
        <w:rPr>
          <w:rFonts w:hint="eastAsia"/>
          <w:sz w:val="28"/>
          <w:szCs w:val="21"/>
        </w:rPr>
        <w:t>13、支持ABAC用户属性授权策略，支持根据用户自定义数据进行分类授权。</w:t>
      </w:r>
    </w:p>
    <w:p w14:paraId="3DD8AE7B">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sz w:val="28"/>
          <w:szCs w:val="21"/>
        </w:rPr>
      </w:pPr>
      <w:r>
        <w:rPr>
          <w:rFonts w:hint="eastAsia"/>
          <w:sz w:val="28"/>
          <w:szCs w:val="21"/>
        </w:rPr>
        <w:t>14、提供3年产品升级授权、远程支持服务、产品保修服务、硬件故障上门支持。</w:t>
      </w:r>
    </w:p>
    <w:p w14:paraId="486248C4">
      <w:pPr>
        <w:pStyle w:val="6"/>
        <w:rPr>
          <w:lang w:eastAsia="zh-Hans"/>
        </w:rPr>
      </w:pPr>
      <w:r>
        <w:rPr>
          <w:rFonts w:hint="eastAsia"/>
          <w:lang w:val="en-US" w:eastAsia="zh-CN"/>
        </w:rPr>
        <w:t>接入防火墙（3台）</w:t>
      </w:r>
    </w:p>
    <w:p w14:paraId="3362155E">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sz w:val="28"/>
          <w:szCs w:val="21"/>
        </w:rPr>
      </w:pPr>
      <w:r>
        <w:rPr>
          <w:rFonts w:hint="eastAsia"/>
          <w:sz w:val="28"/>
          <w:szCs w:val="21"/>
        </w:rPr>
        <w:t>1、1U标准机架式设备，采用国产化操作系统和国产化处理器，≥4个千兆电口（含≥1对bypass口），≥1个独立管理口，≥1个HA口，≥2个空闲接口扩展槽，≥8GB内存，≥1TB硬盘。</w:t>
      </w:r>
    </w:p>
    <w:p w14:paraId="3F34551D">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sz w:val="28"/>
          <w:szCs w:val="21"/>
        </w:rPr>
      </w:pPr>
      <w:r>
        <w:rPr>
          <w:rFonts w:hint="eastAsia"/>
          <w:sz w:val="28"/>
          <w:szCs w:val="21"/>
        </w:rPr>
        <w:t>2、防火墙吞吐量≥12Gbps，防病毒吞吐量≥2Gbps，IPS吞吐量≥2.5Gbps，最大并发连接数≥300万，每秒新建连接数（HTTP）≥10万，提供IPSec VPN隧道数≥10000条，SSL VPN最大用户并发数≥6000个（配置≥8个SSL VPN用户数）。</w:t>
      </w:r>
    </w:p>
    <w:p w14:paraId="3F55FBC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sz w:val="28"/>
          <w:szCs w:val="21"/>
        </w:rPr>
      </w:pPr>
      <w:r>
        <w:rPr>
          <w:rFonts w:hint="eastAsia"/>
          <w:sz w:val="28"/>
          <w:szCs w:val="21"/>
        </w:rPr>
        <w:t>3、支持入侵防御功能，具备多种协议和应用的攻击检测和防御，IPS特征库数量≥15000条。</w:t>
      </w:r>
    </w:p>
    <w:p w14:paraId="4D89C0C0">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sz w:val="28"/>
          <w:szCs w:val="21"/>
        </w:rPr>
      </w:pPr>
      <w:r>
        <w:rPr>
          <w:rFonts w:hint="eastAsia"/>
          <w:sz w:val="28"/>
          <w:szCs w:val="21"/>
        </w:rPr>
        <w:t>4、支持防火墙策略命中次数统计及分析，统计首次命中及最近命中天数等细粒度分析，以及策略冗余检查，能够提升策略运维效率，防火墙支持策略助手功能，能够自动学习网络流量，自动生成防火墙策略。</w:t>
      </w:r>
    </w:p>
    <w:p w14:paraId="2BF7853A">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sz w:val="28"/>
          <w:szCs w:val="21"/>
        </w:rPr>
      </w:pPr>
      <w:r>
        <w:rPr>
          <w:rFonts w:hint="eastAsia"/>
          <w:sz w:val="28"/>
          <w:szCs w:val="21"/>
        </w:rPr>
        <w:t>5、支持热补丁升级功能，可在保证业务不中断的情况下，对设备当前系统版本进行升级维护。</w:t>
      </w:r>
    </w:p>
    <w:p w14:paraId="670D7BCD">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sz w:val="28"/>
          <w:szCs w:val="21"/>
        </w:rPr>
      </w:pPr>
      <w:r>
        <w:rPr>
          <w:rFonts w:hint="eastAsia"/>
          <w:sz w:val="28"/>
          <w:szCs w:val="21"/>
        </w:rPr>
        <w:t>6、产品具备开放性，提供丰富的RestAPI接口，具备与云管平台、SDN控制器、自动化运维管理等平台对接能力，实现自动化运维。</w:t>
      </w:r>
    </w:p>
    <w:p w14:paraId="3AE84A16">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sz w:val="28"/>
          <w:szCs w:val="21"/>
        </w:rPr>
      </w:pPr>
      <w:r>
        <w:rPr>
          <w:rFonts w:hint="eastAsia"/>
          <w:sz w:val="28"/>
          <w:szCs w:val="21"/>
        </w:rPr>
        <w:t>7、支持实现终端摄像头的识别和访问控制。</w:t>
      </w:r>
    </w:p>
    <w:p w14:paraId="6A565F00">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sz w:val="28"/>
          <w:szCs w:val="21"/>
        </w:rPr>
      </w:pPr>
      <w:r>
        <w:rPr>
          <w:rFonts w:hint="eastAsia"/>
          <w:sz w:val="28"/>
          <w:szCs w:val="21"/>
        </w:rPr>
        <w:t>8、支持数据包路径检测能力，能够图形化的Debug展示数据包通过防火墙每个模块是否出现问题，如是否创建会话，是否匹配策略，是否进行流量管理等，便于图形化故障调试。</w:t>
      </w:r>
    </w:p>
    <w:p w14:paraId="1140231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sz w:val="28"/>
          <w:szCs w:val="21"/>
        </w:rPr>
      </w:pPr>
      <w:r>
        <w:rPr>
          <w:rFonts w:hint="eastAsia"/>
          <w:sz w:val="28"/>
          <w:szCs w:val="21"/>
        </w:rPr>
        <w:t>9、提供手机APP的监控通告服务，实现对防火墙的安全监控和威胁事件告警，且要求手机APP与所投产品为同一厂商。</w:t>
      </w:r>
    </w:p>
    <w:p w14:paraId="53DAAEAA">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sz w:val="28"/>
          <w:szCs w:val="21"/>
        </w:rPr>
      </w:pPr>
      <w:r>
        <w:rPr>
          <w:rFonts w:hint="eastAsia"/>
          <w:sz w:val="28"/>
          <w:szCs w:val="21"/>
        </w:rPr>
        <w:t>10、支持VPN功能，提供IPSec VPN功能，提供SSL VPN页面定制功能特性，包括登录页面、交互信息、提示信息等定制功能。</w:t>
      </w:r>
    </w:p>
    <w:p w14:paraId="302E2977">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sz w:val="28"/>
          <w:szCs w:val="21"/>
        </w:rPr>
      </w:pPr>
      <w:r>
        <w:rPr>
          <w:rFonts w:hint="eastAsia"/>
          <w:sz w:val="28"/>
          <w:szCs w:val="21"/>
        </w:rPr>
        <w:t>11、支持全功能CLI（SSH、TELNET、CONSOLE等方式）命令配置，以方便快速进行脚本操作和故障调试，且CLI配置必须支持中文输入。支持配置文件备份到防火墙，备份数量≥10个；</w:t>
      </w:r>
    </w:p>
    <w:p w14:paraId="06B63D2B">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sz w:val="28"/>
          <w:szCs w:val="21"/>
        </w:rPr>
      </w:pPr>
      <w:r>
        <w:rPr>
          <w:rFonts w:hint="eastAsia"/>
          <w:sz w:val="28"/>
          <w:szCs w:val="21"/>
        </w:rPr>
        <w:t>12、支持WebUI开局安装向导，帮助用户按照指引的步骤完成防火墙设备的初始配置，包括系统时间、许可证等基本配置、路由模式的部署以及安全策略相关防护配置。</w:t>
      </w:r>
    </w:p>
    <w:p w14:paraId="36F2F56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sz w:val="28"/>
          <w:szCs w:val="21"/>
        </w:rPr>
      </w:pPr>
      <w:r>
        <w:rPr>
          <w:rFonts w:hint="eastAsia"/>
          <w:sz w:val="28"/>
          <w:szCs w:val="21"/>
        </w:rPr>
        <w:t>13、支持对NAT地址池中的地址进行有效性探测，在出现地址池地址不可用的时候自动排除，保障互联网业务安全稳定运行。</w:t>
      </w:r>
    </w:p>
    <w:p w14:paraId="6AC7440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sz w:val="28"/>
          <w:szCs w:val="21"/>
        </w:rPr>
      </w:pPr>
      <w:r>
        <w:rPr>
          <w:rFonts w:hint="eastAsia"/>
          <w:sz w:val="28"/>
          <w:szCs w:val="21"/>
        </w:rPr>
        <w:t>14、为保障所投设备日常使用的稳定性，要求所投产品通过《电磁兼容 试验和测量技术 浪涌（冲击）抗扰度实验》中所提及的测试标准。</w:t>
      </w:r>
    </w:p>
    <w:p w14:paraId="1917570B">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sz w:val="28"/>
          <w:szCs w:val="21"/>
        </w:rPr>
      </w:pPr>
      <w:r>
        <w:rPr>
          <w:rFonts w:hint="eastAsia"/>
          <w:sz w:val="28"/>
          <w:szCs w:val="21"/>
        </w:rPr>
        <w:t>15、所投产品具备国家网络与信息系统安全产品质量监督检验中心颁发的《信息技术产品安全测试证书》。</w:t>
      </w:r>
    </w:p>
    <w:p w14:paraId="4E8EC937">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sz w:val="28"/>
          <w:szCs w:val="21"/>
        </w:rPr>
      </w:pPr>
      <w:r>
        <w:rPr>
          <w:rFonts w:hint="eastAsia"/>
          <w:sz w:val="28"/>
          <w:szCs w:val="21"/>
        </w:rPr>
        <w:t>16、所投产品具备中国信息安全测评中心颁发的《国家信息安全测评信息技术产品安全测评证书(EAL4+)》。</w:t>
      </w:r>
    </w:p>
    <w:p w14:paraId="44508305">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sz w:val="28"/>
          <w:szCs w:val="21"/>
        </w:rPr>
      </w:pPr>
      <w:r>
        <w:rPr>
          <w:rFonts w:hint="eastAsia"/>
          <w:sz w:val="28"/>
          <w:szCs w:val="21"/>
        </w:rPr>
        <w:t>17、配置3年应用识别、入侵防御、Web防护、威胁情报、病毒过滤功能模块，3年产品质保。</w:t>
      </w:r>
    </w:p>
    <w:bookmarkEnd w:id="1"/>
    <w:bookmarkEnd w:id="2"/>
    <w:bookmarkEnd w:id="3"/>
    <w:p w14:paraId="1A82DD7D">
      <w:pPr>
        <w:ind w:firstLine="0" w:firstLineChars="0"/>
      </w:pPr>
    </w:p>
    <w:sectPr>
      <w:headerReference r:id="rId5" w:type="default"/>
      <w:footerReference r:id="rId6" w:type="default"/>
      <w:pgSz w:w="11906" w:h="16838"/>
      <w:pgMar w:top="1440" w:right="1797" w:bottom="1440" w:left="1797" w:header="851" w:footer="992" w:gutter="0"/>
      <w:cols w:space="425" w:num="1"/>
      <w:docGrid w:type="linesAndChar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4301C74-4E10-41B4-BD01-2EEED7F211E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embedRegular r:id="rId2" w:fontKey="{A092E7E6-F3A8-4CB4-9F4E-D2846AD602E7}"/>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serif">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FC2B0">
    <w:pPr>
      <w:pStyle w:val="18"/>
      <w:rPr>
        <w:sz w:val="32"/>
        <w:szCs w:val="32"/>
      </w:rPr>
    </w:pPr>
    <w:r>
      <w:rPr>
        <w:sz w:val="32"/>
        <w:szCs w:val="32"/>
      </w:rPr>
      <w:t>~</w:t>
    </w:r>
    <w:r>
      <w:rPr>
        <w:sz w:val="32"/>
        <w:szCs w:val="32"/>
      </w:rPr>
      <w:fldChar w:fldCharType="begin"/>
    </w:r>
    <w:r>
      <w:rPr>
        <w:sz w:val="32"/>
        <w:szCs w:val="32"/>
      </w:rPr>
      <w:instrText xml:space="preserve">PAGE   \* MERGEFORMAT</w:instrText>
    </w:r>
    <w:r>
      <w:rPr>
        <w:sz w:val="32"/>
        <w:szCs w:val="32"/>
      </w:rPr>
      <w:fldChar w:fldCharType="separate"/>
    </w:r>
    <w:r>
      <w:rPr>
        <w:sz w:val="32"/>
        <w:szCs w:val="32"/>
        <w:lang w:val="zh-CN"/>
      </w:rPr>
      <w:t>27</w:t>
    </w:r>
    <w:r>
      <w:rPr>
        <w:sz w:val="32"/>
        <w:szCs w:val="32"/>
      </w:rPr>
      <w:fldChar w:fldCharType="end"/>
    </w:r>
    <w:r>
      <w:rPr>
        <w:sz w:val="32"/>
        <w:szCs w:val="32"/>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794F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6A4C21"/>
    <w:multiLevelType w:val="multilevel"/>
    <w:tmpl w:val="026A4C21"/>
    <w:lvl w:ilvl="0" w:tentative="0">
      <w:start w:val="1"/>
      <w:numFmt w:val="chineseCountingThousand"/>
      <w:pStyle w:val="5"/>
      <w:suff w:val="space"/>
      <w:lvlText w:val="第%1章"/>
      <w:lvlJc w:val="left"/>
      <w:pPr>
        <w:ind w:left="0" w:firstLine="0"/>
      </w:pPr>
      <w:rPr>
        <w:rFonts w:hint="default" w:ascii="Times New Roman" w:hAnsi="Times New Roman" w:eastAsia="黑体"/>
        <w:b w:val="0"/>
        <w:i w:val="0"/>
        <w:sz w:val="44"/>
      </w:rPr>
    </w:lvl>
    <w:lvl w:ilvl="1" w:tentative="0">
      <w:start w:val="1"/>
      <w:numFmt w:val="decimal"/>
      <w:pStyle w:val="6"/>
      <w:isLgl/>
      <w:suff w:val="space"/>
      <w:lvlText w:val="%1.%2"/>
      <w:lvlJc w:val="left"/>
      <w:pPr>
        <w:ind w:left="426" w:firstLine="0"/>
      </w:pPr>
      <w:rPr>
        <w:rFonts w:hint="default" w:ascii="Times New Roman" w:hAnsi="Times New Roman" w:eastAsia="黑体"/>
        <w:b w:val="0"/>
        <w:i w:val="0"/>
        <w:sz w:val="32"/>
      </w:rPr>
    </w:lvl>
    <w:lvl w:ilvl="2" w:tentative="0">
      <w:start w:val="1"/>
      <w:numFmt w:val="decimal"/>
      <w:pStyle w:val="7"/>
      <w:isLgl/>
      <w:suff w:val="space"/>
      <w:lvlText w:val="%1.%2.%3"/>
      <w:lvlJc w:val="left"/>
      <w:pPr>
        <w:ind w:left="2978" w:firstLine="0"/>
      </w:pPr>
      <w:rPr>
        <w:rFonts w:hint="default" w:ascii="Times New Roman" w:hAnsi="Times New Roman" w:eastAsia="黑体"/>
        <w:b w:val="0"/>
        <w:i w:val="0"/>
        <w:sz w:val="30"/>
        <w:szCs w:val="30"/>
      </w:rPr>
    </w:lvl>
    <w:lvl w:ilvl="3" w:tentative="0">
      <w:start w:val="1"/>
      <w:numFmt w:val="decimal"/>
      <w:pStyle w:val="8"/>
      <w:isLgl/>
      <w:suff w:val="space"/>
      <w:lvlText w:val="%1.%2.%3.%4"/>
      <w:lvlJc w:val="left"/>
      <w:pPr>
        <w:ind w:left="280" w:firstLine="0"/>
      </w:pPr>
      <w:rPr>
        <w:rFonts w:hint="default" w:ascii="Times New Roman" w:hAnsi="Times New Roman" w:eastAsia="黑体"/>
        <w:b w:val="0"/>
        <w:i w:val="0"/>
        <w:sz w:val="28"/>
      </w:rPr>
    </w:lvl>
    <w:lvl w:ilvl="4" w:tentative="0">
      <w:start w:val="1"/>
      <w:numFmt w:val="decimal"/>
      <w:pStyle w:val="9"/>
      <w:isLgl/>
      <w:suff w:val="space"/>
      <w:lvlText w:val="%1.%2.%3.%4.%5"/>
      <w:lvlJc w:val="left"/>
      <w:pPr>
        <w:ind w:left="851" w:firstLine="0"/>
      </w:pPr>
      <w:rPr>
        <w:rFonts w:hint="default" w:ascii="Times New Roman" w:hAnsi="Times New Roman" w:eastAsia="黑体"/>
        <w:b w:val="0"/>
        <w:i w:val="0"/>
        <w:sz w:val="28"/>
      </w:rPr>
    </w:lvl>
    <w:lvl w:ilvl="5" w:tentative="0">
      <w:start w:val="1"/>
      <w:numFmt w:val="decimal"/>
      <w:pStyle w:val="10"/>
      <w:isLgl/>
      <w:suff w:val="space"/>
      <w:lvlText w:val="%1.%2.%3.%4.%5.%6"/>
      <w:lvlJc w:val="left"/>
      <w:pPr>
        <w:ind w:left="425" w:firstLine="0"/>
      </w:pPr>
      <w:rPr>
        <w:rFonts w:hint="default" w:ascii="Times New Roman" w:hAnsi="Times New Roman" w:eastAsia="黑体"/>
        <w:b w:val="0"/>
        <w:i w:val="0"/>
        <w:sz w:val="28"/>
      </w:rPr>
    </w:lvl>
    <w:lvl w:ilvl="6" w:tentative="0">
      <w:start w:val="1"/>
      <w:numFmt w:val="decimal"/>
      <w:pStyle w:val="11"/>
      <w:isLgl/>
      <w:suff w:val="space"/>
      <w:lvlText w:val="%1.%2.%3.%4.%5.%6.%7"/>
      <w:lvlJc w:val="left"/>
      <w:pPr>
        <w:ind w:left="510" w:firstLine="0"/>
      </w:pPr>
      <w:rPr>
        <w:rFonts w:hint="default" w:ascii="Times New Roman" w:hAnsi="Times New Roman" w:eastAsia="宋体"/>
        <w:b w:val="0"/>
        <w:i w:val="0"/>
        <w:sz w:val="28"/>
      </w:rPr>
    </w:lvl>
    <w:lvl w:ilvl="7" w:tentative="0">
      <w:start w:val="1"/>
      <w:numFmt w:val="lowerLetter"/>
      <w:pStyle w:val="12"/>
      <w:isLgl/>
      <w:suff w:val="space"/>
      <w:lvlText w:val="%1.%2.%3.%4.%5.%6.%7.%8"/>
      <w:lvlJc w:val="left"/>
      <w:pPr>
        <w:ind w:left="595" w:firstLine="0"/>
      </w:pPr>
      <w:rPr>
        <w:rFonts w:hint="default" w:ascii="Times New Roman" w:hAnsi="Times New Roman" w:eastAsia="黑体"/>
        <w:b w:val="0"/>
        <w:i w:val="0"/>
        <w:sz w:val="28"/>
      </w:rPr>
    </w:lvl>
    <w:lvl w:ilvl="8" w:tentative="0">
      <w:start w:val="1"/>
      <w:numFmt w:val="lowerRoman"/>
      <w:pStyle w:val="13"/>
      <w:isLgl/>
      <w:suff w:val="space"/>
      <w:lvlText w:val="%1.%2.%3.%4.%5.%6.%7.%8.%9."/>
      <w:lvlJc w:val="right"/>
      <w:pPr>
        <w:ind w:left="680" w:firstLine="0"/>
      </w:pPr>
      <w:rPr>
        <w:rFonts w:hint="default" w:ascii="Times New Roman" w:hAnsi="Times New Roman" w:eastAsia="宋体"/>
        <w:b w:val="0"/>
        <w:i w:val="0"/>
        <w:sz w:val="24"/>
      </w:r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pStyle w:val="50"/>
      <w:isLgl/>
      <w:suff w:val="space"/>
      <w:lvlText w:val="%1.%2 "/>
      <w:lvlJc w:val="left"/>
      <w:pPr>
        <w:ind w:left="794" w:hanging="794"/>
      </w:pPr>
      <w:rPr>
        <w:rFonts w:hint="eastAsia"/>
      </w:rPr>
    </w:lvl>
    <w:lvl w:ilvl="2" w:tentative="0">
      <w:start w:val="1"/>
      <w:numFmt w:val="decimal"/>
      <w:pStyle w:val="58"/>
      <w:isLgl/>
      <w:suff w:val="space"/>
      <w:lvlText w:val="%1.%2.%3 "/>
      <w:lvlJc w:val="left"/>
      <w:pPr>
        <w:ind w:left="907" w:hanging="907"/>
      </w:pPr>
      <w:rPr>
        <w:rFonts w:hint="eastAsia"/>
      </w:rPr>
    </w:lvl>
    <w:lvl w:ilvl="3" w:tentative="0">
      <w:start w:val="1"/>
      <w:numFmt w:val="decimal"/>
      <w:pStyle w:val="52"/>
      <w:isLgl/>
      <w:suff w:val="space"/>
      <w:lvlText w:val="%1.%2.%3.%4 "/>
      <w:lvlJc w:val="left"/>
      <w:pPr>
        <w:ind w:left="1021" w:hanging="1021"/>
      </w:pPr>
      <w:rPr>
        <w:rFonts w:hint="eastAsia"/>
      </w:rPr>
    </w:lvl>
    <w:lvl w:ilvl="4" w:tentative="0">
      <w:start w:val="1"/>
      <w:numFmt w:val="decimal"/>
      <w:pStyle w:val="53"/>
      <w:isLgl/>
      <w:suff w:val="space"/>
      <w:lvlText w:val="%1.%2.%3.%4.%5 "/>
      <w:lvlJc w:val="left"/>
      <w:pPr>
        <w:ind w:left="1134" w:hanging="1134"/>
      </w:pPr>
      <w:rPr>
        <w:rFonts w:hint="eastAsia"/>
      </w:rPr>
    </w:lvl>
    <w:lvl w:ilvl="5" w:tentative="0">
      <w:start w:val="1"/>
      <w:numFmt w:val="decimal"/>
      <w:pStyle w:val="54"/>
      <w:isLgl/>
      <w:suff w:val="space"/>
      <w:lvlText w:val="%1.%2.%3.%4.%5.%6 "/>
      <w:lvlJc w:val="left"/>
      <w:pPr>
        <w:ind w:left="1247" w:hanging="1247"/>
      </w:pPr>
      <w:rPr>
        <w:rFonts w:hint="eastAsia"/>
      </w:rPr>
    </w:lvl>
    <w:lvl w:ilvl="6" w:tentative="0">
      <w:start w:val="1"/>
      <w:numFmt w:val="decimal"/>
      <w:lvlRestart w:val="1"/>
      <w:isLgl/>
      <w:suff w:val="space"/>
      <w:lvlText w:val="图 %1.%7 "/>
      <w:lvlJc w:val="left"/>
      <w:pPr>
        <w:ind w:left="0" w:firstLine="0"/>
      </w:pPr>
      <w:rPr>
        <w:rFonts w:hint="eastAsia"/>
      </w:rPr>
    </w:lvl>
    <w:lvl w:ilvl="7" w:tentative="0">
      <w:start w:val="1"/>
      <w:numFmt w:val="decimal"/>
      <w:lvlRestart w:val="1"/>
      <w:isLgl/>
      <w:suff w:val="space"/>
      <w:lvlText w:val="表 %1.%8 "/>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documentProtection w:enforcement="0"/>
  <w:defaultTabStop w:val="420"/>
  <w:drawingGridHorizontalSpacing w:val="160"/>
  <w:drawingGridVerticalSpacing w:val="435"/>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NkZTI1ODdhZTE4NjM5NWJlZDk1YzhjZjFkOTk3NjUifQ=="/>
  </w:docVars>
  <w:rsids>
    <w:rsidRoot w:val="007C310F"/>
    <w:rsid w:val="00000476"/>
    <w:rsid w:val="00000C3F"/>
    <w:rsid w:val="000058E3"/>
    <w:rsid w:val="00010448"/>
    <w:rsid w:val="00015784"/>
    <w:rsid w:val="00021301"/>
    <w:rsid w:val="0002691F"/>
    <w:rsid w:val="000270C2"/>
    <w:rsid w:val="000309AB"/>
    <w:rsid w:val="00031BC0"/>
    <w:rsid w:val="00032747"/>
    <w:rsid w:val="00037ABC"/>
    <w:rsid w:val="0004607A"/>
    <w:rsid w:val="00056640"/>
    <w:rsid w:val="00074691"/>
    <w:rsid w:val="00075AFD"/>
    <w:rsid w:val="0007684A"/>
    <w:rsid w:val="000772B3"/>
    <w:rsid w:val="00081D65"/>
    <w:rsid w:val="00083A5D"/>
    <w:rsid w:val="00085BD4"/>
    <w:rsid w:val="000917BB"/>
    <w:rsid w:val="000918AC"/>
    <w:rsid w:val="00095CDC"/>
    <w:rsid w:val="00097786"/>
    <w:rsid w:val="000B05D4"/>
    <w:rsid w:val="000B0D99"/>
    <w:rsid w:val="000B32D6"/>
    <w:rsid w:val="000C6616"/>
    <w:rsid w:val="000C6F08"/>
    <w:rsid w:val="000D096E"/>
    <w:rsid w:val="000E075E"/>
    <w:rsid w:val="000E18C2"/>
    <w:rsid w:val="000E3760"/>
    <w:rsid w:val="000E507E"/>
    <w:rsid w:val="000F0600"/>
    <w:rsid w:val="000F246E"/>
    <w:rsid w:val="000F3567"/>
    <w:rsid w:val="000F4F0F"/>
    <w:rsid w:val="00104172"/>
    <w:rsid w:val="0012078A"/>
    <w:rsid w:val="00120CEA"/>
    <w:rsid w:val="0012161D"/>
    <w:rsid w:val="001220E9"/>
    <w:rsid w:val="0012400E"/>
    <w:rsid w:val="00126DF1"/>
    <w:rsid w:val="00145E77"/>
    <w:rsid w:val="00146319"/>
    <w:rsid w:val="00152C59"/>
    <w:rsid w:val="0015315B"/>
    <w:rsid w:val="00153308"/>
    <w:rsid w:val="0015362A"/>
    <w:rsid w:val="00164109"/>
    <w:rsid w:val="00165EC3"/>
    <w:rsid w:val="001808B2"/>
    <w:rsid w:val="0018196C"/>
    <w:rsid w:val="001934B6"/>
    <w:rsid w:val="00194568"/>
    <w:rsid w:val="00197BFD"/>
    <w:rsid w:val="001A30D2"/>
    <w:rsid w:val="001A3470"/>
    <w:rsid w:val="001A5BB5"/>
    <w:rsid w:val="001A7AA1"/>
    <w:rsid w:val="001A7B3A"/>
    <w:rsid w:val="001B3669"/>
    <w:rsid w:val="001B7C11"/>
    <w:rsid w:val="001C058E"/>
    <w:rsid w:val="001C0B48"/>
    <w:rsid w:val="001C3CDE"/>
    <w:rsid w:val="001D07E2"/>
    <w:rsid w:val="001D2BBF"/>
    <w:rsid w:val="001D764B"/>
    <w:rsid w:val="001E5430"/>
    <w:rsid w:val="001E6A5A"/>
    <w:rsid w:val="001F40F8"/>
    <w:rsid w:val="001F6354"/>
    <w:rsid w:val="00204350"/>
    <w:rsid w:val="00207B71"/>
    <w:rsid w:val="00211085"/>
    <w:rsid w:val="002145BB"/>
    <w:rsid w:val="002254CD"/>
    <w:rsid w:val="002275E4"/>
    <w:rsid w:val="00236279"/>
    <w:rsid w:val="002362E1"/>
    <w:rsid w:val="00243284"/>
    <w:rsid w:val="00244824"/>
    <w:rsid w:val="00246BB9"/>
    <w:rsid w:val="002470FF"/>
    <w:rsid w:val="00256533"/>
    <w:rsid w:val="0026014C"/>
    <w:rsid w:val="0028190E"/>
    <w:rsid w:val="0028233A"/>
    <w:rsid w:val="00292F2F"/>
    <w:rsid w:val="00294DAE"/>
    <w:rsid w:val="002A1D00"/>
    <w:rsid w:val="002A39B7"/>
    <w:rsid w:val="002A64B0"/>
    <w:rsid w:val="002B2633"/>
    <w:rsid w:val="002B2BD3"/>
    <w:rsid w:val="002B4084"/>
    <w:rsid w:val="002B7050"/>
    <w:rsid w:val="002C0424"/>
    <w:rsid w:val="002C077F"/>
    <w:rsid w:val="002D07E7"/>
    <w:rsid w:val="002E1390"/>
    <w:rsid w:val="002E7B47"/>
    <w:rsid w:val="002F2450"/>
    <w:rsid w:val="002F25BA"/>
    <w:rsid w:val="003018B3"/>
    <w:rsid w:val="00301DBA"/>
    <w:rsid w:val="0030433D"/>
    <w:rsid w:val="00305B5A"/>
    <w:rsid w:val="00316326"/>
    <w:rsid w:val="003215FB"/>
    <w:rsid w:val="0032333E"/>
    <w:rsid w:val="00333879"/>
    <w:rsid w:val="00337F1C"/>
    <w:rsid w:val="00343E7A"/>
    <w:rsid w:val="0035099B"/>
    <w:rsid w:val="003525D9"/>
    <w:rsid w:val="00353F68"/>
    <w:rsid w:val="00361A7E"/>
    <w:rsid w:val="00361B69"/>
    <w:rsid w:val="0036488B"/>
    <w:rsid w:val="00366F60"/>
    <w:rsid w:val="0037193E"/>
    <w:rsid w:val="00371F30"/>
    <w:rsid w:val="00380C79"/>
    <w:rsid w:val="0038108D"/>
    <w:rsid w:val="003855D7"/>
    <w:rsid w:val="00387A9F"/>
    <w:rsid w:val="003910B1"/>
    <w:rsid w:val="003A5AEE"/>
    <w:rsid w:val="003A75F7"/>
    <w:rsid w:val="003B2EB8"/>
    <w:rsid w:val="003B5CF7"/>
    <w:rsid w:val="003B5E35"/>
    <w:rsid w:val="003C0A90"/>
    <w:rsid w:val="003C579C"/>
    <w:rsid w:val="003C7654"/>
    <w:rsid w:val="003D1A04"/>
    <w:rsid w:val="003D235E"/>
    <w:rsid w:val="003E383D"/>
    <w:rsid w:val="0040540D"/>
    <w:rsid w:val="00410D0E"/>
    <w:rsid w:val="00410F28"/>
    <w:rsid w:val="00413D73"/>
    <w:rsid w:val="00415057"/>
    <w:rsid w:val="00415541"/>
    <w:rsid w:val="00424E50"/>
    <w:rsid w:val="004279A6"/>
    <w:rsid w:val="00427D6E"/>
    <w:rsid w:val="004337F3"/>
    <w:rsid w:val="004349E1"/>
    <w:rsid w:val="00446785"/>
    <w:rsid w:val="00452BE4"/>
    <w:rsid w:val="004545D0"/>
    <w:rsid w:val="0045597C"/>
    <w:rsid w:val="00455E22"/>
    <w:rsid w:val="0046001C"/>
    <w:rsid w:val="0046243E"/>
    <w:rsid w:val="004627D2"/>
    <w:rsid w:val="004652A4"/>
    <w:rsid w:val="00477C66"/>
    <w:rsid w:val="0048101E"/>
    <w:rsid w:val="00481DEF"/>
    <w:rsid w:val="00493C1F"/>
    <w:rsid w:val="00497EA1"/>
    <w:rsid w:val="004A48FE"/>
    <w:rsid w:val="004B41B1"/>
    <w:rsid w:val="004B432D"/>
    <w:rsid w:val="004C4F63"/>
    <w:rsid w:val="004C664D"/>
    <w:rsid w:val="004D33D1"/>
    <w:rsid w:val="004D3740"/>
    <w:rsid w:val="004D586A"/>
    <w:rsid w:val="004D5E8F"/>
    <w:rsid w:val="004E49FF"/>
    <w:rsid w:val="004F35EC"/>
    <w:rsid w:val="004F7F64"/>
    <w:rsid w:val="00502EC7"/>
    <w:rsid w:val="0050746A"/>
    <w:rsid w:val="00507AA5"/>
    <w:rsid w:val="0051508F"/>
    <w:rsid w:val="00521784"/>
    <w:rsid w:val="00521A66"/>
    <w:rsid w:val="005239A9"/>
    <w:rsid w:val="00525BA7"/>
    <w:rsid w:val="005418A7"/>
    <w:rsid w:val="00555066"/>
    <w:rsid w:val="005636AF"/>
    <w:rsid w:val="00573A7A"/>
    <w:rsid w:val="00574A40"/>
    <w:rsid w:val="00582519"/>
    <w:rsid w:val="0058308C"/>
    <w:rsid w:val="00583547"/>
    <w:rsid w:val="00583562"/>
    <w:rsid w:val="00584C41"/>
    <w:rsid w:val="00585487"/>
    <w:rsid w:val="00591472"/>
    <w:rsid w:val="0059756B"/>
    <w:rsid w:val="005A4F72"/>
    <w:rsid w:val="005A7735"/>
    <w:rsid w:val="005B2CBD"/>
    <w:rsid w:val="005C3A99"/>
    <w:rsid w:val="005C50AF"/>
    <w:rsid w:val="005D2093"/>
    <w:rsid w:val="005D2C45"/>
    <w:rsid w:val="005D3E94"/>
    <w:rsid w:val="005E35D8"/>
    <w:rsid w:val="005E59E3"/>
    <w:rsid w:val="005F0E90"/>
    <w:rsid w:val="005F1EF5"/>
    <w:rsid w:val="005F28FD"/>
    <w:rsid w:val="00602730"/>
    <w:rsid w:val="0060370E"/>
    <w:rsid w:val="006044B4"/>
    <w:rsid w:val="00604704"/>
    <w:rsid w:val="006125B0"/>
    <w:rsid w:val="00616CBA"/>
    <w:rsid w:val="00621E9F"/>
    <w:rsid w:val="0062232C"/>
    <w:rsid w:val="00623AC2"/>
    <w:rsid w:val="00624550"/>
    <w:rsid w:val="006268F8"/>
    <w:rsid w:val="006302DF"/>
    <w:rsid w:val="00630D01"/>
    <w:rsid w:val="00650050"/>
    <w:rsid w:val="00655DAB"/>
    <w:rsid w:val="0065616A"/>
    <w:rsid w:val="0066083F"/>
    <w:rsid w:val="006655BA"/>
    <w:rsid w:val="0067578A"/>
    <w:rsid w:val="00675BB2"/>
    <w:rsid w:val="00677348"/>
    <w:rsid w:val="0068296C"/>
    <w:rsid w:val="00690197"/>
    <w:rsid w:val="00692304"/>
    <w:rsid w:val="006933EF"/>
    <w:rsid w:val="006A0B77"/>
    <w:rsid w:val="006A27AA"/>
    <w:rsid w:val="006C2178"/>
    <w:rsid w:val="006E4917"/>
    <w:rsid w:val="006F031E"/>
    <w:rsid w:val="006F0419"/>
    <w:rsid w:val="006F0972"/>
    <w:rsid w:val="006F2B17"/>
    <w:rsid w:val="006F4FB9"/>
    <w:rsid w:val="006F6882"/>
    <w:rsid w:val="00700CA6"/>
    <w:rsid w:val="007016F2"/>
    <w:rsid w:val="00704261"/>
    <w:rsid w:val="00721A0E"/>
    <w:rsid w:val="00723BD9"/>
    <w:rsid w:val="00723C19"/>
    <w:rsid w:val="00723F62"/>
    <w:rsid w:val="007302B2"/>
    <w:rsid w:val="007304F2"/>
    <w:rsid w:val="00730967"/>
    <w:rsid w:val="00732FE2"/>
    <w:rsid w:val="007362A8"/>
    <w:rsid w:val="00736768"/>
    <w:rsid w:val="00747E1C"/>
    <w:rsid w:val="007545EC"/>
    <w:rsid w:val="007560C0"/>
    <w:rsid w:val="00761760"/>
    <w:rsid w:val="007654FD"/>
    <w:rsid w:val="007662F7"/>
    <w:rsid w:val="00772393"/>
    <w:rsid w:val="00772723"/>
    <w:rsid w:val="00781DD3"/>
    <w:rsid w:val="00786A44"/>
    <w:rsid w:val="007877FA"/>
    <w:rsid w:val="00793D41"/>
    <w:rsid w:val="00793EAE"/>
    <w:rsid w:val="00794253"/>
    <w:rsid w:val="00794364"/>
    <w:rsid w:val="0079638A"/>
    <w:rsid w:val="007B419E"/>
    <w:rsid w:val="007C09B7"/>
    <w:rsid w:val="007C310F"/>
    <w:rsid w:val="007C5685"/>
    <w:rsid w:val="007C61FA"/>
    <w:rsid w:val="007C683C"/>
    <w:rsid w:val="007D42F1"/>
    <w:rsid w:val="007D5289"/>
    <w:rsid w:val="007D7C0D"/>
    <w:rsid w:val="007E61F1"/>
    <w:rsid w:val="007F08F6"/>
    <w:rsid w:val="007F0CAC"/>
    <w:rsid w:val="007F5885"/>
    <w:rsid w:val="00801645"/>
    <w:rsid w:val="00802500"/>
    <w:rsid w:val="0081025B"/>
    <w:rsid w:val="00811045"/>
    <w:rsid w:val="00812B16"/>
    <w:rsid w:val="008305EB"/>
    <w:rsid w:val="00833D69"/>
    <w:rsid w:val="008430D5"/>
    <w:rsid w:val="00845A03"/>
    <w:rsid w:val="00851A2A"/>
    <w:rsid w:val="00852CCC"/>
    <w:rsid w:val="00854276"/>
    <w:rsid w:val="00857227"/>
    <w:rsid w:val="008631B5"/>
    <w:rsid w:val="00864CDE"/>
    <w:rsid w:val="0088172C"/>
    <w:rsid w:val="00881C8C"/>
    <w:rsid w:val="00884528"/>
    <w:rsid w:val="008848FE"/>
    <w:rsid w:val="008865F2"/>
    <w:rsid w:val="00892214"/>
    <w:rsid w:val="00892958"/>
    <w:rsid w:val="00894516"/>
    <w:rsid w:val="008966CF"/>
    <w:rsid w:val="008A1537"/>
    <w:rsid w:val="008A2000"/>
    <w:rsid w:val="008A23CA"/>
    <w:rsid w:val="008B2858"/>
    <w:rsid w:val="008B461D"/>
    <w:rsid w:val="008B562F"/>
    <w:rsid w:val="008D5CCF"/>
    <w:rsid w:val="008D5FC2"/>
    <w:rsid w:val="008D5FE2"/>
    <w:rsid w:val="008E1653"/>
    <w:rsid w:val="008E2D58"/>
    <w:rsid w:val="008E6DDE"/>
    <w:rsid w:val="008F03C8"/>
    <w:rsid w:val="008F2163"/>
    <w:rsid w:val="008F3DFC"/>
    <w:rsid w:val="00903206"/>
    <w:rsid w:val="009046CC"/>
    <w:rsid w:val="00904C45"/>
    <w:rsid w:val="00907595"/>
    <w:rsid w:val="0091646B"/>
    <w:rsid w:val="00917DEA"/>
    <w:rsid w:val="00931FC7"/>
    <w:rsid w:val="00935B25"/>
    <w:rsid w:val="00937801"/>
    <w:rsid w:val="009418E7"/>
    <w:rsid w:val="00941EC7"/>
    <w:rsid w:val="009533BB"/>
    <w:rsid w:val="0095565F"/>
    <w:rsid w:val="009670AC"/>
    <w:rsid w:val="00972B8B"/>
    <w:rsid w:val="0098038C"/>
    <w:rsid w:val="00985A38"/>
    <w:rsid w:val="009921E9"/>
    <w:rsid w:val="009A222D"/>
    <w:rsid w:val="009A46B9"/>
    <w:rsid w:val="009C3219"/>
    <w:rsid w:val="009C69D0"/>
    <w:rsid w:val="009D21E1"/>
    <w:rsid w:val="009D2CA4"/>
    <w:rsid w:val="009D6461"/>
    <w:rsid w:val="009E0D8B"/>
    <w:rsid w:val="009E6736"/>
    <w:rsid w:val="009F1E6F"/>
    <w:rsid w:val="009F1F01"/>
    <w:rsid w:val="009F7212"/>
    <w:rsid w:val="00A01411"/>
    <w:rsid w:val="00A0495D"/>
    <w:rsid w:val="00A10C88"/>
    <w:rsid w:val="00A14E32"/>
    <w:rsid w:val="00A234AC"/>
    <w:rsid w:val="00A53619"/>
    <w:rsid w:val="00A56850"/>
    <w:rsid w:val="00A63F5B"/>
    <w:rsid w:val="00A6454D"/>
    <w:rsid w:val="00A73F36"/>
    <w:rsid w:val="00A77915"/>
    <w:rsid w:val="00A80AAF"/>
    <w:rsid w:val="00A82619"/>
    <w:rsid w:val="00A83E7A"/>
    <w:rsid w:val="00A84136"/>
    <w:rsid w:val="00A85354"/>
    <w:rsid w:val="00A868C8"/>
    <w:rsid w:val="00A86D7A"/>
    <w:rsid w:val="00A94FE6"/>
    <w:rsid w:val="00AA0DEB"/>
    <w:rsid w:val="00AA4C20"/>
    <w:rsid w:val="00AA4CD8"/>
    <w:rsid w:val="00AA5B10"/>
    <w:rsid w:val="00AA5E25"/>
    <w:rsid w:val="00AB02C9"/>
    <w:rsid w:val="00AB0C9B"/>
    <w:rsid w:val="00AB0DC4"/>
    <w:rsid w:val="00AB0EDE"/>
    <w:rsid w:val="00AB77B3"/>
    <w:rsid w:val="00AC1E82"/>
    <w:rsid w:val="00AD0717"/>
    <w:rsid w:val="00AD1904"/>
    <w:rsid w:val="00AD4F4A"/>
    <w:rsid w:val="00AD6971"/>
    <w:rsid w:val="00AE2620"/>
    <w:rsid w:val="00AE73FD"/>
    <w:rsid w:val="00AF6916"/>
    <w:rsid w:val="00B027BD"/>
    <w:rsid w:val="00B074FF"/>
    <w:rsid w:val="00B129F9"/>
    <w:rsid w:val="00B144CE"/>
    <w:rsid w:val="00B2384F"/>
    <w:rsid w:val="00B35FA2"/>
    <w:rsid w:val="00B4037C"/>
    <w:rsid w:val="00B41C13"/>
    <w:rsid w:val="00B4303D"/>
    <w:rsid w:val="00B51786"/>
    <w:rsid w:val="00B5218C"/>
    <w:rsid w:val="00B54840"/>
    <w:rsid w:val="00B553F6"/>
    <w:rsid w:val="00B66597"/>
    <w:rsid w:val="00B72D86"/>
    <w:rsid w:val="00B76511"/>
    <w:rsid w:val="00B8740C"/>
    <w:rsid w:val="00B94B6A"/>
    <w:rsid w:val="00BA124A"/>
    <w:rsid w:val="00BA4418"/>
    <w:rsid w:val="00BA73E6"/>
    <w:rsid w:val="00BB33B7"/>
    <w:rsid w:val="00BB6304"/>
    <w:rsid w:val="00BC11F9"/>
    <w:rsid w:val="00BC5426"/>
    <w:rsid w:val="00BD5119"/>
    <w:rsid w:val="00BD64EC"/>
    <w:rsid w:val="00BD7788"/>
    <w:rsid w:val="00BF412E"/>
    <w:rsid w:val="00BF7F83"/>
    <w:rsid w:val="00C00642"/>
    <w:rsid w:val="00C05411"/>
    <w:rsid w:val="00C12D27"/>
    <w:rsid w:val="00C2069E"/>
    <w:rsid w:val="00C233A8"/>
    <w:rsid w:val="00C25910"/>
    <w:rsid w:val="00C31D22"/>
    <w:rsid w:val="00C4014F"/>
    <w:rsid w:val="00C40B80"/>
    <w:rsid w:val="00C4161C"/>
    <w:rsid w:val="00C4161E"/>
    <w:rsid w:val="00C42646"/>
    <w:rsid w:val="00C5173A"/>
    <w:rsid w:val="00C60155"/>
    <w:rsid w:val="00C6134A"/>
    <w:rsid w:val="00C6562C"/>
    <w:rsid w:val="00C71399"/>
    <w:rsid w:val="00C740A1"/>
    <w:rsid w:val="00C771C8"/>
    <w:rsid w:val="00C82A10"/>
    <w:rsid w:val="00C84231"/>
    <w:rsid w:val="00C86967"/>
    <w:rsid w:val="00C90226"/>
    <w:rsid w:val="00C9287F"/>
    <w:rsid w:val="00CA365B"/>
    <w:rsid w:val="00CA45D1"/>
    <w:rsid w:val="00CA766A"/>
    <w:rsid w:val="00CB227F"/>
    <w:rsid w:val="00CB2FE2"/>
    <w:rsid w:val="00CB330F"/>
    <w:rsid w:val="00CC729A"/>
    <w:rsid w:val="00CC7E2A"/>
    <w:rsid w:val="00CE2923"/>
    <w:rsid w:val="00CE35BD"/>
    <w:rsid w:val="00CE600E"/>
    <w:rsid w:val="00CF6ED5"/>
    <w:rsid w:val="00CF79C1"/>
    <w:rsid w:val="00D015B6"/>
    <w:rsid w:val="00D27E6E"/>
    <w:rsid w:val="00D30FB2"/>
    <w:rsid w:val="00D37C3D"/>
    <w:rsid w:val="00D61402"/>
    <w:rsid w:val="00D634E0"/>
    <w:rsid w:val="00D657CE"/>
    <w:rsid w:val="00D67371"/>
    <w:rsid w:val="00D75995"/>
    <w:rsid w:val="00D81DDC"/>
    <w:rsid w:val="00D87BB8"/>
    <w:rsid w:val="00D90098"/>
    <w:rsid w:val="00D90203"/>
    <w:rsid w:val="00D9110F"/>
    <w:rsid w:val="00D92EDF"/>
    <w:rsid w:val="00D94624"/>
    <w:rsid w:val="00DA253B"/>
    <w:rsid w:val="00DA5FD9"/>
    <w:rsid w:val="00DA74D7"/>
    <w:rsid w:val="00DB23E2"/>
    <w:rsid w:val="00DB35D8"/>
    <w:rsid w:val="00DB5E4E"/>
    <w:rsid w:val="00DB69ED"/>
    <w:rsid w:val="00DB72E8"/>
    <w:rsid w:val="00DB7CE9"/>
    <w:rsid w:val="00DC1B0B"/>
    <w:rsid w:val="00DC65A4"/>
    <w:rsid w:val="00DD5FEE"/>
    <w:rsid w:val="00DE57D7"/>
    <w:rsid w:val="00DE5968"/>
    <w:rsid w:val="00DF496B"/>
    <w:rsid w:val="00E04C35"/>
    <w:rsid w:val="00E11FCE"/>
    <w:rsid w:val="00E230F3"/>
    <w:rsid w:val="00E32CCE"/>
    <w:rsid w:val="00E46074"/>
    <w:rsid w:val="00E46E35"/>
    <w:rsid w:val="00E52665"/>
    <w:rsid w:val="00E52D7F"/>
    <w:rsid w:val="00E674CA"/>
    <w:rsid w:val="00E85C1B"/>
    <w:rsid w:val="00E9332F"/>
    <w:rsid w:val="00E95792"/>
    <w:rsid w:val="00EA16EB"/>
    <w:rsid w:val="00EA3AE8"/>
    <w:rsid w:val="00EA4994"/>
    <w:rsid w:val="00EA76B8"/>
    <w:rsid w:val="00EB0A48"/>
    <w:rsid w:val="00EB2B43"/>
    <w:rsid w:val="00EC0439"/>
    <w:rsid w:val="00EC077E"/>
    <w:rsid w:val="00EC70CC"/>
    <w:rsid w:val="00EC72F0"/>
    <w:rsid w:val="00ED7EEE"/>
    <w:rsid w:val="00EE0793"/>
    <w:rsid w:val="00EE2FB4"/>
    <w:rsid w:val="00EE5119"/>
    <w:rsid w:val="00EE67F0"/>
    <w:rsid w:val="00F01EDD"/>
    <w:rsid w:val="00F10626"/>
    <w:rsid w:val="00F2333E"/>
    <w:rsid w:val="00F25164"/>
    <w:rsid w:val="00F276C4"/>
    <w:rsid w:val="00F27B63"/>
    <w:rsid w:val="00F3058F"/>
    <w:rsid w:val="00F30FE5"/>
    <w:rsid w:val="00F3282C"/>
    <w:rsid w:val="00F32E72"/>
    <w:rsid w:val="00F44E84"/>
    <w:rsid w:val="00F450E5"/>
    <w:rsid w:val="00F4617C"/>
    <w:rsid w:val="00F46A74"/>
    <w:rsid w:val="00F472D0"/>
    <w:rsid w:val="00F50574"/>
    <w:rsid w:val="00F519BF"/>
    <w:rsid w:val="00F5474A"/>
    <w:rsid w:val="00F55F5C"/>
    <w:rsid w:val="00F57436"/>
    <w:rsid w:val="00F57D6B"/>
    <w:rsid w:val="00F6134B"/>
    <w:rsid w:val="00F628E8"/>
    <w:rsid w:val="00F70816"/>
    <w:rsid w:val="00F82AB4"/>
    <w:rsid w:val="00F82F42"/>
    <w:rsid w:val="00F848B2"/>
    <w:rsid w:val="00F861A4"/>
    <w:rsid w:val="00F9597F"/>
    <w:rsid w:val="00FA5534"/>
    <w:rsid w:val="00FB239E"/>
    <w:rsid w:val="00FB4438"/>
    <w:rsid w:val="00FB7EEE"/>
    <w:rsid w:val="00FE4F56"/>
    <w:rsid w:val="00FF519A"/>
    <w:rsid w:val="01117561"/>
    <w:rsid w:val="015762C9"/>
    <w:rsid w:val="017E2A82"/>
    <w:rsid w:val="01E478A8"/>
    <w:rsid w:val="024B5FFA"/>
    <w:rsid w:val="03D427AB"/>
    <w:rsid w:val="03F550A9"/>
    <w:rsid w:val="04936845"/>
    <w:rsid w:val="04BC4850"/>
    <w:rsid w:val="052B4681"/>
    <w:rsid w:val="058D598A"/>
    <w:rsid w:val="06210DF7"/>
    <w:rsid w:val="07CD6512"/>
    <w:rsid w:val="07D04F20"/>
    <w:rsid w:val="07EA0C5B"/>
    <w:rsid w:val="0886098E"/>
    <w:rsid w:val="08A01404"/>
    <w:rsid w:val="08A20838"/>
    <w:rsid w:val="091028CF"/>
    <w:rsid w:val="097D7B5F"/>
    <w:rsid w:val="0A4A209B"/>
    <w:rsid w:val="0B465828"/>
    <w:rsid w:val="0BA47589"/>
    <w:rsid w:val="0BB7550F"/>
    <w:rsid w:val="0C772B74"/>
    <w:rsid w:val="0D083DF0"/>
    <w:rsid w:val="0D9134F0"/>
    <w:rsid w:val="0EBD4261"/>
    <w:rsid w:val="0ECE5A23"/>
    <w:rsid w:val="0FA7267C"/>
    <w:rsid w:val="1033098C"/>
    <w:rsid w:val="10374E70"/>
    <w:rsid w:val="10453AD9"/>
    <w:rsid w:val="108451A8"/>
    <w:rsid w:val="10ED53C5"/>
    <w:rsid w:val="111A2D88"/>
    <w:rsid w:val="112D6307"/>
    <w:rsid w:val="117F4DC6"/>
    <w:rsid w:val="11B6769A"/>
    <w:rsid w:val="12237E76"/>
    <w:rsid w:val="1226151D"/>
    <w:rsid w:val="12B367F5"/>
    <w:rsid w:val="12C43900"/>
    <w:rsid w:val="13EC2A95"/>
    <w:rsid w:val="151E750A"/>
    <w:rsid w:val="15BD3597"/>
    <w:rsid w:val="17535125"/>
    <w:rsid w:val="17F6116D"/>
    <w:rsid w:val="18245CDA"/>
    <w:rsid w:val="1827004C"/>
    <w:rsid w:val="187D7B07"/>
    <w:rsid w:val="18B755C4"/>
    <w:rsid w:val="198253AE"/>
    <w:rsid w:val="1A4F2D4D"/>
    <w:rsid w:val="1A5F3D37"/>
    <w:rsid w:val="1B624F4F"/>
    <w:rsid w:val="1B6549E2"/>
    <w:rsid w:val="1BEC1B6D"/>
    <w:rsid w:val="1C3D380E"/>
    <w:rsid w:val="1D030492"/>
    <w:rsid w:val="1DA921AD"/>
    <w:rsid w:val="1DB134D9"/>
    <w:rsid w:val="1E636E30"/>
    <w:rsid w:val="1EFF7C22"/>
    <w:rsid w:val="1F03276C"/>
    <w:rsid w:val="1F801BF8"/>
    <w:rsid w:val="1FAE2EFC"/>
    <w:rsid w:val="1FBA4CC2"/>
    <w:rsid w:val="1FF64400"/>
    <w:rsid w:val="21312FD9"/>
    <w:rsid w:val="215F3821"/>
    <w:rsid w:val="217F66B7"/>
    <w:rsid w:val="21F62E64"/>
    <w:rsid w:val="21FA5CFD"/>
    <w:rsid w:val="22BE3D84"/>
    <w:rsid w:val="22F02B09"/>
    <w:rsid w:val="24356FCD"/>
    <w:rsid w:val="248122D4"/>
    <w:rsid w:val="24C76353"/>
    <w:rsid w:val="24D543B9"/>
    <w:rsid w:val="251F496C"/>
    <w:rsid w:val="25530DC6"/>
    <w:rsid w:val="25932348"/>
    <w:rsid w:val="25A43761"/>
    <w:rsid w:val="25D34072"/>
    <w:rsid w:val="25DB4634"/>
    <w:rsid w:val="260956B6"/>
    <w:rsid w:val="26B15C64"/>
    <w:rsid w:val="271B2FB7"/>
    <w:rsid w:val="27E965F8"/>
    <w:rsid w:val="282F4953"/>
    <w:rsid w:val="28CE29C9"/>
    <w:rsid w:val="28D42E04"/>
    <w:rsid w:val="29C938D5"/>
    <w:rsid w:val="2A007C29"/>
    <w:rsid w:val="2A491EB3"/>
    <w:rsid w:val="2A9F114D"/>
    <w:rsid w:val="2AA01028"/>
    <w:rsid w:val="2AF552B4"/>
    <w:rsid w:val="2BA56F0F"/>
    <w:rsid w:val="2BCC5A5C"/>
    <w:rsid w:val="2BD664CD"/>
    <w:rsid w:val="2C8D2ABE"/>
    <w:rsid w:val="2E2503A7"/>
    <w:rsid w:val="2E8F7609"/>
    <w:rsid w:val="2EF7784D"/>
    <w:rsid w:val="2F3C5BA7"/>
    <w:rsid w:val="2F5C1DA5"/>
    <w:rsid w:val="2FAD1DFD"/>
    <w:rsid w:val="30236EF5"/>
    <w:rsid w:val="31E6097E"/>
    <w:rsid w:val="33180906"/>
    <w:rsid w:val="33770F5C"/>
    <w:rsid w:val="33C62198"/>
    <w:rsid w:val="341D5FA7"/>
    <w:rsid w:val="34FF745B"/>
    <w:rsid w:val="352303F2"/>
    <w:rsid w:val="35700359"/>
    <w:rsid w:val="36714543"/>
    <w:rsid w:val="36F62AE0"/>
    <w:rsid w:val="375E44A1"/>
    <w:rsid w:val="377C2FE5"/>
    <w:rsid w:val="378A3307"/>
    <w:rsid w:val="37F05F31"/>
    <w:rsid w:val="383220CC"/>
    <w:rsid w:val="38897121"/>
    <w:rsid w:val="38D33594"/>
    <w:rsid w:val="3AD31F07"/>
    <w:rsid w:val="3AF4641E"/>
    <w:rsid w:val="3B514788"/>
    <w:rsid w:val="3C1B31F1"/>
    <w:rsid w:val="3EAD43CC"/>
    <w:rsid w:val="3FC7326B"/>
    <w:rsid w:val="404B3811"/>
    <w:rsid w:val="40DA1B96"/>
    <w:rsid w:val="414B735B"/>
    <w:rsid w:val="41566BC5"/>
    <w:rsid w:val="42025270"/>
    <w:rsid w:val="42335CE6"/>
    <w:rsid w:val="425F63E5"/>
    <w:rsid w:val="426137A1"/>
    <w:rsid w:val="445E6B0F"/>
    <w:rsid w:val="44C030DE"/>
    <w:rsid w:val="44CD1324"/>
    <w:rsid w:val="453D6639"/>
    <w:rsid w:val="469B2397"/>
    <w:rsid w:val="46DA1AD6"/>
    <w:rsid w:val="46F13959"/>
    <w:rsid w:val="477D45F7"/>
    <w:rsid w:val="47B562E3"/>
    <w:rsid w:val="47CC58C3"/>
    <w:rsid w:val="48C02CB0"/>
    <w:rsid w:val="48E647B5"/>
    <w:rsid w:val="48ED6C15"/>
    <w:rsid w:val="49061130"/>
    <w:rsid w:val="4A050C18"/>
    <w:rsid w:val="4AB95DD6"/>
    <w:rsid w:val="4AD056CA"/>
    <w:rsid w:val="4BB40B47"/>
    <w:rsid w:val="4D60283F"/>
    <w:rsid w:val="4D697710"/>
    <w:rsid w:val="4D6D203C"/>
    <w:rsid w:val="4D9246E7"/>
    <w:rsid w:val="4E612ADD"/>
    <w:rsid w:val="4E9439FE"/>
    <w:rsid w:val="4EA341E6"/>
    <w:rsid w:val="4F626B0C"/>
    <w:rsid w:val="4F921AB6"/>
    <w:rsid w:val="50DE6667"/>
    <w:rsid w:val="510D2AA8"/>
    <w:rsid w:val="511E6A63"/>
    <w:rsid w:val="513916E5"/>
    <w:rsid w:val="516E1798"/>
    <w:rsid w:val="5193296D"/>
    <w:rsid w:val="51B51175"/>
    <w:rsid w:val="52100AA2"/>
    <w:rsid w:val="530312CF"/>
    <w:rsid w:val="53B042EA"/>
    <w:rsid w:val="54633BDD"/>
    <w:rsid w:val="546B6463"/>
    <w:rsid w:val="55664241"/>
    <w:rsid w:val="55986321"/>
    <w:rsid w:val="559B2D78"/>
    <w:rsid w:val="55FD133D"/>
    <w:rsid w:val="56380620"/>
    <w:rsid w:val="57811C68"/>
    <w:rsid w:val="581E3DE2"/>
    <w:rsid w:val="58963C41"/>
    <w:rsid w:val="59995609"/>
    <w:rsid w:val="59DE0DBA"/>
    <w:rsid w:val="5A7F0572"/>
    <w:rsid w:val="5A93656E"/>
    <w:rsid w:val="5AD40392"/>
    <w:rsid w:val="5D2B6790"/>
    <w:rsid w:val="5D7A6768"/>
    <w:rsid w:val="5E451AD3"/>
    <w:rsid w:val="5EA507C4"/>
    <w:rsid w:val="5EDB5F93"/>
    <w:rsid w:val="5FE4129E"/>
    <w:rsid w:val="601C1C93"/>
    <w:rsid w:val="60B916C7"/>
    <w:rsid w:val="60EF5D26"/>
    <w:rsid w:val="614C4F26"/>
    <w:rsid w:val="616752F7"/>
    <w:rsid w:val="619363FA"/>
    <w:rsid w:val="619960CB"/>
    <w:rsid w:val="6239194F"/>
    <w:rsid w:val="637864A7"/>
    <w:rsid w:val="64135D66"/>
    <w:rsid w:val="647129A5"/>
    <w:rsid w:val="649D31B0"/>
    <w:rsid w:val="64C74ED6"/>
    <w:rsid w:val="65622855"/>
    <w:rsid w:val="65B672AF"/>
    <w:rsid w:val="6662009D"/>
    <w:rsid w:val="66826385"/>
    <w:rsid w:val="671A1481"/>
    <w:rsid w:val="675A1E0A"/>
    <w:rsid w:val="679E24FB"/>
    <w:rsid w:val="68513691"/>
    <w:rsid w:val="690C1B6B"/>
    <w:rsid w:val="6922313D"/>
    <w:rsid w:val="69AA611C"/>
    <w:rsid w:val="6A303637"/>
    <w:rsid w:val="6AB53B3C"/>
    <w:rsid w:val="6B424106"/>
    <w:rsid w:val="6C0B1932"/>
    <w:rsid w:val="6C292A34"/>
    <w:rsid w:val="6C9C1458"/>
    <w:rsid w:val="6CEE6237"/>
    <w:rsid w:val="6CF44DF0"/>
    <w:rsid w:val="6D572E2F"/>
    <w:rsid w:val="6D621C66"/>
    <w:rsid w:val="6DC84410"/>
    <w:rsid w:val="6DD918D0"/>
    <w:rsid w:val="6E405E13"/>
    <w:rsid w:val="6E68362E"/>
    <w:rsid w:val="6E9C48AC"/>
    <w:rsid w:val="6ECF7FD4"/>
    <w:rsid w:val="6FB22D40"/>
    <w:rsid w:val="70495295"/>
    <w:rsid w:val="71DB1233"/>
    <w:rsid w:val="72B312A9"/>
    <w:rsid w:val="734142EB"/>
    <w:rsid w:val="738002E7"/>
    <w:rsid w:val="74AC5FB0"/>
    <w:rsid w:val="74E403D4"/>
    <w:rsid w:val="759F0162"/>
    <w:rsid w:val="75A5137D"/>
    <w:rsid w:val="75DA08FB"/>
    <w:rsid w:val="76130D7F"/>
    <w:rsid w:val="76640A15"/>
    <w:rsid w:val="77B21596"/>
    <w:rsid w:val="77D16882"/>
    <w:rsid w:val="783A2064"/>
    <w:rsid w:val="788A03B6"/>
    <w:rsid w:val="78D81144"/>
    <w:rsid w:val="790A2BC5"/>
    <w:rsid w:val="792151BF"/>
    <w:rsid w:val="79EB37FE"/>
    <w:rsid w:val="7A683DA9"/>
    <w:rsid w:val="7B6E3FBF"/>
    <w:rsid w:val="7BE05E58"/>
    <w:rsid w:val="7C5E0D7C"/>
    <w:rsid w:val="7C815F74"/>
    <w:rsid w:val="7D773E52"/>
    <w:rsid w:val="7DBF26AD"/>
    <w:rsid w:val="7EA450B2"/>
    <w:rsid w:val="7EDE7523"/>
    <w:rsid w:val="7F361298"/>
    <w:rsid w:val="7F575ED3"/>
    <w:rsid w:val="7FB12A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qFormat="1" w:unhideWhenUsed="0" w:uiPriority="0" w:semiHidden="0"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ind w:firstLine="640" w:firstLineChars="200"/>
      <w:jc w:val="both"/>
    </w:pPr>
    <w:rPr>
      <w:rFonts w:eastAsia="仿宋" w:asciiTheme="minorHAnsi" w:hAnsiTheme="minorHAnsi" w:cstheme="minorBidi"/>
      <w:kern w:val="2"/>
      <w:sz w:val="32"/>
      <w:szCs w:val="22"/>
      <w:lang w:val="en-US" w:eastAsia="zh-CN" w:bidi="ar-SA"/>
    </w:rPr>
  </w:style>
  <w:style w:type="paragraph" w:styleId="5">
    <w:name w:val="heading 1"/>
    <w:basedOn w:val="1"/>
    <w:next w:val="1"/>
    <w:link w:val="35"/>
    <w:autoRedefine/>
    <w:qFormat/>
    <w:uiPriority w:val="0"/>
    <w:pPr>
      <w:keepNext/>
      <w:keepLines/>
      <w:pageBreakBefore/>
      <w:widowControl/>
      <w:numPr>
        <w:ilvl w:val="0"/>
        <w:numId w:val="1"/>
      </w:numPr>
      <w:adjustRightInd w:val="0"/>
      <w:snapToGrid w:val="0"/>
      <w:spacing w:before="340" w:after="330"/>
      <w:ind w:firstLineChars="0"/>
      <w:jc w:val="left"/>
      <w:outlineLvl w:val="0"/>
    </w:pPr>
    <w:rPr>
      <w:rFonts w:eastAsia="黑体" w:asciiTheme="majorAscii" w:hAnsiTheme="majorAscii" w:cstheme="majorBidi"/>
      <w:kern w:val="44"/>
      <w:sz w:val="44"/>
      <w:szCs w:val="44"/>
    </w:rPr>
  </w:style>
  <w:style w:type="paragraph" w:styleId="6">
    <w:name w:val="heading 2"/>
    <w:basedOn w:val="1"/>
    <w:next w:val="1"/>
    <w:link w:val="36"/>
    <w:autoRedefine/>
    <w:qFormat/>
    <w:uiPriority w:val="0"/>
    <w:pPr>
      <w:keepNext/>
      <w:keepLines/>
      <w:widowControl/>
      <w:numPr>
        <w:ilvl w:val="1"/>
        <w:numId w:val="1"/>
      </w:numPr>
      <w:adjustRightInd w:val="0"/>
      <w:snapToGrid w:val="0"/>
      <w:ind w:left="0" w:firstLineChars="0"/>
      <w:outlineLvl w:val="1"/>
    </w:pPr>
    <w:rPr>
      <w:rFonts w:eastAsia="黑体" w:asciiTheme="majorHAnsi" w:hAnsiTheme="majorHAnsi" w:cstheme="majorBidi"/>
      <w:bCs/>
      <w:szCs w:val="32"/>
    </w:rPr>
  </w:style>
  <w:style w:type="paragraph" w:styleId="7">
    <w:name w:val="heading 3"/>
    <w:basedOn w:val="1"/>
    <w:next w:val="1"/>
    <w:link w:val="37"/>
    <w:autoRedefine/>
    <w:qFormat/>
    <w:uiPriority w:val="0"/>
    <w:pPr>
      <w:keepNext/>
      <w:keepLines/>
      <w:widowControl/>
      <w:numPr>
        <w:ilvl w:val="2"/>
        <w:numId w:val="1"/>
      </w:numPr>
      <w:adjustRightInd w:val="0"/>
      <w:snapToGrid w:val="0"/>
      <w:spacing w:before="200"/>
      <w:ind w:left="0" w:firstLineChars="0"/>
      <w:outlineLvl w:val="2"/>
    </w:pPr>
    <w:rPr>
      <w:rFonts w:ascii="Times New Roman" w:hAnsi="Times New Roman" w:eastAsia="黑体"/>
      <w:bCs/>
      <w:sz w:val="30"/>
      <w:szCs w:val="32"/>
    </w:rPr>
  </w:style>
  <w:style w:type="paragraph" w:styleId="8">
    <w:name w:val="heading 4"/>
    <w:basedOn w:val="1"/>
    <w:next w:val="1"/>
    <w:link w:val="32"/>
    <w:autoRedefine/>
    <w:qFormat/>
    <w:uiPriority w:val="0"/>
    <w:pPr>
      <w:keepNext/>
      <w:keepLines/>
      <w:widowControl/>
      <w:numPr>
        <w:ilvl w:val="3"/>
        <w:numId w:val="1"/>
      </w:numPr>
      <w:adjustRightInd w:val="0"/>
      <w:snapToGrid w:val="0"/>
      <w:ind w:left="0" w:firstLineChars="0"/>
      <w:outlineLvl w:val="3"/>
    </w:pPr>
    <w:rPr>
      <w:rFonts w:eastAsia="黑体" w:asciiTheme="majorHAnsi" w:hAnsiTheme="majorHAnsi" w:cstheme="majorBidi"/>
      <w:bCs/>
      <w:sz w:val="28"/>
      <w:szCs w:val="28"/>
    </w:rPr>
  </w:style>
  <w:style w:type="paragraph" w:styleId="9">
    <w:name w:val="heading 5"/>
    <w:basedOn w:val="1"/>
    <w:next w:val="1"/>
    <w:link w:val="31"/>
    <w:autoRedefine/>
    <w:qFormat/>
    <w:uiPriority w:val="0"/>
    <w:pPr>
      <w:keepNext/>
      <w:keepLines/>
      <w:widowControl/>
      <w:numPr>
        <w:ilvl w:val="4"/>
        <w:numId w:val="1"/>
      </w:numPr>
      <w:adjustRightInd w:val="0"/>
      <w:snapToGrid w:val="0"/>
      <w:ind w:left="0" w:firstLineChars="0"/>
      <w:outlineLvl w:val="4"/>
    </w:pPr>
    <w:rPr>
      <w:rFonts w:ascii="Times New Roman" w:hAnsi="Times New Roman" w:eastAsia="黑体"/>
      <w:bCs/>
      <w:sz w:val="28"/>
      <w:szCs w:val="28"/>
    </w:rPr>
  </w:style>
  <w:style w:type="paragraph" w:styleId="10">
    <w:name w:val="heading 6"/>
    <w:basedOn w:val="1"/>
    <w:next w:val="1"/>
    <w:link w:val="38"/>
    <w:autoRedefine/>
    <w:qFormat/>
    <w:uiPriority w:val="0"/>
    <w:pPr>
      <w:keepNext/>
      <w:keepLines/>
      <w:widowControl/>
      <w:numPr>
        <w:ilvl w:val="5"/>
        <w:numId w:val="1"/>
      </w:numPr>
      <w:adjustRightInd w:val="0"/>
      <w:snapToGrid w:val="0"/>
      <w:ind w:left="0"/>
      <w:outlineLvl w:val="5"/>
    </w:pPr>
    <w:rPr>
      <w:rFonts w:eastAsia="黑体" w:asciiTheme="majorHAnsi" w:hAnsiTheme="majorHAnsi" w:cstheme="majorBidi"/>
      <w:bCs/>
      <w:sz w:val="28"/>
      <w:szCs w:val="24"/>
    </w:rPr>
  </w:style>
  <w:style w:type="paragraph" w:styleId="11">
    <w:name w:val="heading 7"/>
    <w:basedOn w:val="1"/>
    <w:next w:val="1"/>
    <w:link w:val="39"/>
    <w:autoRedefine/>
    <w:qFormat/>
    <w:uiPriority w:val="0"/>
    <w:pPr>
      <w:keepNext/>
      <w:keepLines/>
      <w:widowControl/>
      <w:numPr>
        <w:ilvl w:val="6"/>
        <w:numId w:val="1"/>
      </w:numPr>
      <w:adjustRightInd w:val="0"/>
      <w:snapToGrid w:val="0"/>
      <w:spacing w:before="240" w:after="64"/>
      <w:outlineLvl w:val="6"/>
    </w:pPr>
    <w:rPr>
      <w:rFonts w:ascii="Times New Roman" w:hAnsi="Times New Roman"/>
      <w:bCs/>
      <w:sz w:val="28"/>
      <w:szCs w:val="24"/>
    </w:rPr>
  </w:style>
  <w:style w:type="paragraph" w:styleId="12">
    <w:name w:val="heading 8"/>
    <w:basedOn w:val="1"/>
    <w:next w:val="1"/>
    <w:link w:val="40"/>
    <w:autoRedefine/>
    <w:qFormat/>
    <w:uiPriority w:val="0"/>
    <w:pPr>
      <w:keepNext/>
      <w:keepLines/>
      <w:widowControl/>
      <w:numPr>
        <w:ilvl w:val="7"/>
        <w:numId w:val="1"/>
      </w:numPr>
      <w:adjustRightInd w:val="0"/>
      <w:snapToGrid w:val="0"/>
      <w:spacing w:before="240" w:after="64"/>
      <w:outlineLvl w:val="7"/>
    </w:pPr>
    <w:rPr>
      <w:rFonts w:asciiTheme="majorHAnsi" w:hAnsiTheme="majorHAnsi" w:cstheme="majorBidi"/>
      <w:sz w:val="28"/>
      <w:szCs w:val="24"/>
    </w:rPr>
  </w:style>
  <w:style w:type="paragraph" w:styleId="13">
    <w:name w:val="heading 9"/>
    <w:basedOn w:val="1"/>
    <w:next w:val="1"/>
    <w:link w:val="41"/>
    <w:autoRedefine/>
    <w:qFormat/>
    <w:uiPriority w:val="0"/>
    <w:pPr>
      <w:keepNext/>
      <w:keepLines/>
      <w:widowControl/>
      <w:numPr>
        <w:ilvl w:val="8"/>
        <w:numId w:val="1"/>
      </w:numPr>
      <w:adjustRightInd w:val="0"/>
      <w:snapToGrid w:val="0"/>
      <w:spacing w:before="240" w:after="64"/>
      <w:outlineLvl w:val="8"/>
    </w:pPr>
    <w:rPr>
      <w:rFonts w:asciiTheme="majorHAnsi" w:hAnsiTheme="majorHAnsi" w:cstheme="majorBidi"/>
      <w:sz w:val="28"/>
      <w:szCs w:val="21"/>
    </w:rPr>
  </w:style>
  <w:style w:type="character" w:default="1" w:styleId="27">
    <w:name w:val="Default Paragraph Font"/>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next w:val="4"/>
    <w:qFormat/>
    <w:uiPriority w:val="0"/>
  </w:style>
  <w:style w:type="paragraph" w:styleId="4">
    <w:name w:val="envelope return"/>
    <w:basedOn w:val="1"/>
    <w:unhideWhenUsed/>
    <w:qFormat/>
    <w:uiPriority w:val="99"/>
    <w:pPr>
      <w:snapToGrid w:val="0"/>
    </w:pPr>
    <w:rPr>
      <w:rFonts w:ascii="Arial" w:hAnsi="Arial"/>
    </w:rPr>
  </w:style>
  <w:style w:type="paragraph" w:styleId="14">
    <w:name w:val="Normal Indent"/>
    <w:basedOn w:val="1"/>
    <w:link w:val="43"/>
    <w:autoRedefine/>
    <w:unhideWhenUsed/>
    <w:qFormat/>
    <w:uiPriority w:val="99"/>
    <w:pPr>
      <w:spacing w:line="560" w:lineRule="exact"/>
      <w:ind w:firstLine="420"/>
    </w:pPr>
    <w:rPr>
      <w:rFonts w:ascii="仿宋_GB2312" w:hAnsi="Times New Roman" w:eastAsia="仿宋_GB2312"/>
      <w:sz w:val="28"/>
      <w:szCs w:val="21"/>
    </w:rPr>
  </w:style>
  <w:style w:type="paragraph" w:styleId="15">
    <w:name w:val="caption"/>
    <w:basedOn w:val="1"/>
    <w:next w:val="1"/>
    <w:link w:val="49"/>
    <w:autoRedefine/>
    <w:qFormat/>
    <w:uiPriority w:val="0"/>
    <w:pPr>
      <w:adjustRightInd w:val="0"/>
      <w:snapToGrid w:val="0"/>
      <w:jc w:val="center"/>
    </w:pPr>
    <w:rPr>
      <w:rFonts w:ascii="Arial" w:hAnsi="Arial" w:eastAsia="黑体" w:cs="Arial"/>
      <w:sz w:val="20"/>
      <w:szCs w:val="20"/>
    </w:rPr>
  </w:style>
  <w:style w:type="paragraph" w:styleId="16">
    <w:name w:val="annotation text"/>
    <w:basedOn w:val="1"/>
    <w:link w:val="56"/>
    <w:autoRedefine/>
    <w:semiHidden/>
    <w:qFormat/>
    <w:uiPriority w:val="0"/>
    <w:pPr>
      <w:widowControl/>
      <w:spacing w:line="240" w:lineRule="atLeast"/>
      <w:jc w:val="left"/>
    </w:pPr>
    <w:rPr>
      <w:rFonts w:ascii="Times New Roman" w:hAnsi="Times New Roman" w:eastAsia="宋体" w:cs="Times New Roman"/>
      <w:kern w:val="0"/>
      <w:sz w:val="21"/>
      <w:szCs w:val="21"/>
    </w:rPr>
  </w:style>
  <w:style w:type="paragraph" w:styleId="17">
    <w:name w:val="toc 3"/>
    <w:basedOn w:val="1"/>
    <w:next w:val="1"/>
    <w:autoRedefine/>
    <w:unhideWhenUsed/>
    <w:qFormat/>
    <w:uiPriority w:val="39"/>
    <w:pPr>
      <w:ind w:left="640" w:leftChars="200"/>
    </w:pPr>
  </w:style>
  <w:style w:type="paragraph" w:styleId="18">
    <w:name w:val="footer"/>
    <w:basedOn w:val="1"/>
    <w:link w:val="34"/>
    <w:autoRedefine/>
    <w:unhideWhenUsed/>
    <w:qFormat/>
    <w:uiPriority w:val="99"/>
    <w:pPr>
      <w:tabs>
        <w:tab w:val="center" w:pos="4153"/>
        <w:tab w:val="right" w:pos="8306"/>
      </w:tabs>
      <w:snapToGrid w:val="0"/>
      <w:jc w:val="left"/>
    </w:pPr>
    <w:rPr>
      <w:rFonts w:eastAsiaTheme="minorEastAsia"/>
      <w:sz w:val="18"/>
      <w:szCs w:val="18"/>
    </w:rPr>
  </w:style>
  <w:style w:type="paragraph" w:styleId="19">
    <w:name w:val="header"/>
    <w:basedOn w:val="1"/>
    <w:link w:val="33"/>
    <w:autoRedefine/>
    <w:unhideWhenUsed/>
    <w:qFormat/>
    <w:uiPriority w:val="0"/>
    <w:pPr>
      <w:pBdr>
        <w:bottom w:val="single" w:color="auto" w:sz="6" w:space="1"/>
      </w:pBdr>
      <w:tabs>
        <w:tab w:val="center" w:pos="4153"/>
        <w:tab w:val="right" w:pos="8306"/>
      </w:tabs>
      <w:snapToGrid w:val="0"/>
      <w:jc w:val="center"/>
    </w:pPr>
    <w:rPr>
      <w:rFonts w:eastAsiaTheme="minorEastAsia"/>
      <w:sz w:val="18"/>
      <w:szCs w:val="18"/>
    </w:rPr>
  </w:style>
  <w:style w:type="paragraph" w:styleId="20">
    <w:name w:val="toc 1"/>
    <w:basedOn w:val="1"/>
    <w:next w:val="1"/>
    <w:autoRedefine/>
    <w:unhideWhenUsed/>
    <w:qFormat/>
    <w:uiPriority w:val="39"/>
    <w:pPr>
      <w:tabs>
        <w:tab w:val="right" w:leader="dot" w:pos="8296"/>
      </w:tabs>
      <w:ind w:firstLine="0" w:firstLineChars="0"/>
      <w:jc w:val="left"/>
    </w:pPr>
    <w:rPr>
      <w:rFonts w:ascii="Times New Roman" w:hAnsi="Times New Roman" w:eastAsia="宋体"/>
      <w:bCs/>
      <w:caps/>
      <w:sz w:val="28"/>
      <w:szCs w:val="21"/>
    </w:rPr>
  </w:style>
  <w:style w:type="paragraph" w:styleId="21">
    <w:name w:val="footnote text"/>
    <w:basedOn w:val="1"/>
    <w:qFormat/>
    <w:uiPriority w:val="0"/>
    <w:pPr>
      <w:snapToGrid w:val="0"/>
    </w:pPr>
    <w:rPr>
      <w:rFonts w:ascii="Calibri" w:hAnsi="Calibri" w:cs="Times New Roman"/>
      <w:kern w:val="2"/>
      <w:sz w:val="18"/>
      <w:szCs w:val="18"/>
    </w:rPr>
  </w:style>
  <w:style w:type="paragraph" w:styleId="22">
    <w:name w:val="toc 2"/>
    <w:basedOn w:val="1"/>
    <w:next w:val="1"/>
    <w:autoRedefine/>
    <w:unhideWhenUsed/>
    <w:qFormat/>
    <w:uiPriority w:val="39"/>
  </w:style>
  <w:style w:type="paragraph" w:styleId="23">
    <w:name w:val="Body Text 2"/>
    <w:basedOn w:val="1"/>
    <w:autoRedefine/>
    <w:qFormat/>
    <w:uiPriority w:val="0"/>
    <w:pPr>
      <w:spacing w:after="120" w:line="480" w:lineRule="auto"/>
    </w:pPr>
  </w:style>
  <w:style w:type="paragraph" w:styleId="24">
    <w:name w:val="annotation subject"/>
    <w:basedOn w:val="16"/>
    <w:next w:val="16"/>
    <w:link w:val="57"/>
    <w:autoRedefine/>
    <w:semiHidden/>
    <w:unhideWhenUsed/>
    <w:qFormat/>
    <w:uiPriority w:val="99"/>
    <w:pPr>
      <w:widowControl w:val="0"/>
      <w:spacing w:line="240" w:lineRule="auto"/>
    </w:pPr>
    <w:rPr>
      <w:rFonts w:eastAsia="仿宋" w:asciiTheme="minorHAnsi" w:hAnsiTheme="minorHAnsi" w:cstheme="minorBidi"/>
      <w:b/>
      <w:bCs/>
      <w:kern w:val="2"/>
      <w:sz w:val="32"/>
      <w:szCs w:val="22"/>
    </w:rPr>
  </w:style>
  <w:style w:type="table" w:styleId="26">
    <w:name w:val="Table Grid"/>
    <w:basedOn w:val="2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autoRedefine/>
    <w:qFormat/>
    <w:uiPriority w:val="0"/>
    <w:rPr>
      <w:rFonts w:ascii="Times New Roman" w:hAnsi="Times New Roman" w:eastAsia="宋体" w:cs="Times New Roman"/>
    </w:rPr>
  </w:style>
  <w:style w:type="character" w:styleId="29">
    <w:name w:val="Hyperlink"/>
    <w:basedOn w:val="27"/>
    <w:autoRedefine/>
    <w:unhideWhenUsed/>
    <w:qFormat/>
    <w:uiPriority w:val="99"/>
    <w:rPr>
      <w:color w:val="0563C1" w:themeColor="hyperlink"/>
      <w:u w:val="single"/>
      <w14:textFill>
        <w14:solidFill>
          <w14:schemeClr w14:val="hlink"/>
        </w14:solidFill>
      </w14:textFill>
    </w:rPr>
  </w:style>
  <w:style w:type="character" w:styleId="30">
    <w:name w:val="annotation reference"/>
    <w:basedOn w:val="27"/>
    <w:autoRedefine/>
    <w:semiHidden/>
    <w:unhideWhenUsed/>
    <w:qFormat/>
    <w:uiPriority w:val="99"/>
    <w:rPr>
      <w:sz w:val="21"/>
      <w:szCs w:val="21"/>
    </w:rPr>
  </w:style>
  <w:style w:type="character" w:customStyle="1" w:styleId="31">
    <w:name w:val="标题 5 字符"/>
    <w:basedOn w:val="27"/>
    <w:link w:val="9"/>
    <w:autoRedefine/>
    <w:qFormat/>
    <w:uiPriority w:val="0"/>
    <w:rPr>
      <w:rFonts w:ascii="Times New Roman" w:hAnsi="Times New Roman" w:eastAsia="黑体"/>
      <w:bCs/>
      <w:kern w:val="2"/>
      <w:sz w:val="28"/>
      <w:szCs w:val="28"/>
    </w:rPr>
  </w:style>
  <w:style w:type="character" w:customStyle="1" w:styleId="32">
    <w:name w:val="标题 4 字符"/>
    <w:basedOn w:val="27"/>
    <w:link w:val="8"/>
    <w:autoRedefine/>
    <w:qFormat/>
    <w:uiPriority w:val="0"/>
    <w:rPr>
      <w:rFonts w:eastAsia="黑体" w:asciiTheme="majorHAnsi" w:hAnsiTheme="majorHAnsi" w:cstheme="majorBidi"/>
      <w:bCs/>
      <w:kern w:val="2"/>
      <w:sz w:val="28"/>
      <w:szCs w:val="28"/>
    </w:rPr>
  </w:style>
  <w:style w:type="character" w:customStyle="1" w:styleId="33">
    <w:name w:val="页眉 字符"/>
    <w:basedOn w:val="27"/>
    <w:link w:val="19"/>
    <w:autoRedefine/>
    <w:qFormat/>
    <w:uiPriority w:val="99"/>
    <w:rPr>
      <w:sz w:val="18"/>
      <w:szCs w:val="18"/>
    </w:rPr>
  </w:style>
  <w:style w:type="character" w:customStyle="1" w:styleId="34">
    <w:name w:val="页脚 字符"/>
    <w:basedOn w:val="27"/>
    <w:link w:val="18"/>
    <w:autoRedefine/>
    <w:qFormat/>
    <w:uiPriority w:val="99"/>
    <w:rPr>
      <w:sz w:val="18"/>
      <w:szCs w:val="18"/>
    </w:rPr>
  </w:style>
  <w:style w:type="character" w:customStyle="1" w:styleId="35">
    <w:name w:val="标题 1 字符"/>
    <w:basedOn w:val="27"/>
    <w:link w:val="5"/>
    <w:autoRedefine/>
    <w:qFormat/>
    <w:uiPriority w:val="0"/>
    <w:rPr>
      <w:rFonts w:eastAsia="黑体" w:asciiTheme="majorAscii" w:hAnsiTheme="majorAscii" w:cstheme="majorBidi"/>
      <w:kern w:val="44"/>
      <w:sz w:val="44"/>
      <w:szCs w:val="44"/>
    </w:rPr>
  </w:style>
  <w:style w:type="character" w:customStyle="1" w:styleId="36">
    <w:name w:val="标题 2 字符"/>
    <w:basedOn w:val="27"/>
    <w:link w:val="6"/>
    <w:autoRedefine/>
    <w:qFormat/>
    <w:uiPriority w:val="0"/>
    <w:rPr>
      <w:rFonts w:eastAsia="黑体" w:asciiTheme="majorHAnsi" w:hAnsiTheme="majorHAnsi" w:cstheme="majorBidi"/>
      <w:bCs/>
      <w:kern w:val="2"/>
      <w:sz w:val="32"/>
      <w:szCs w:val="32"/>
    </w:rPr>
  </w:style>
  <w:style w:type="character" w:customStyle="1" w:styleId="37">
    <w:name w:val="标题 3 字符"/>
    <w:basedOn w:val="27"/>
    <w:link w:val="7"/>
    <w:autoRedefine/>
    <w:qFormat/>
    <w:uiPriority w:val="0"/>
    <w:rPr>
      <w:rFonts w:ascii="Times New Roman" w:hAnsi="Times New Roman" w:eastAsia="黑体"/>
      <w:bCs/>
      <w:kern w:val="2"/>
      <w:sz w:val="30"/>
      <w:szCs w:val="32"/>
    </w:rPr>
  </w:style>
  <w:style w:type="character" w:customStyle="1" w:styleId="38">
    <w:name w:val="标题 6 字符"/>
    <w:basedOn w:val="27"/>
    <w:link w:val="10"/>
    <w:autoRedefine/>
    <w:qFormat/>
    <w:uiPriority w:val="0"/>
    <w:rPr>
      <w:rFonts w:eastAsia="黑体" w:asciiTheme="majorHAnsi" w:hAnsiTheme="majorHAnsi" w:cstheme="majorBidi"/>
      <w:bCs/>
      <w:kern w:val="2"/>
      <w:sz w:val="28"/>
      <w:szCs w:val="24"/>
    </w:rPr>
  </w:style>
  <w:style w:type="character" w:customStyle="1" w:styleId="39">
    <w:name w:val="标题 7 字符"/>
    <w:basedOn w:val="27"/>
    <w:link w:val="11"/>
    <w:autoRedefine/>
    <w:qFormat/>
    <w:uiPriority w:val="0"/>
    <w:rPr>
      <w:rFonts w:ascii="Times New Roman" w:hAnsi="Times New Roman" w:eastAsia="仿宋"/>
      <w:bCs/>
      <w:sz w:val="28"/>
      <w:szCs w:val="24"/>
    </w:rPr>
  </w:style>
  <w:style w:type="character" w:customStyle="1" w:styleId="40">
    <w:name w:val="标题 8 字符"/>
    <w:basedOn w:val="27"/>
    <w:link w:val="12"/>
    <w:autoRedefine/>
    <w:qFormat/>
    <w:uiPriority w:val="0"/>
    <w:rPr>
      <w:rFonts w:eastAsia="仿宋" w:asciiTheme="majorHAnsi" w:hAnsiTheme="majorHAnsi" w:cstheme="majorBidi"/>
      <w:sz w:val="28"/>
      <w:szCs w:val="24"/>
    </w:rPr>
  </w:style>
  <w:style w:type="character" w:customStyle="1" w:styleId="41">
    <w:name w:val="标题 9 字符"/>
    <w:basedOn w:val="27"/>
    <w:link w:val="13"/>
    <w:autoRedefine/>
    <w:qFormat/>
    <w:uiPriority w:val="0"/>
    <w:rPr>
      <w:rFonts w:eastAsia="仿宋" w:asciiTheme="majorHAnsi" w:hAnsiTheme="majorHAnsi" w:cstheme="majorBidi"/>
      <w:sz w:val="28"/>
      <w:szCs w:val="21"/>
    </w:rPr>
  </w:style>
  <w:style w:type="paragraph" w:customStyle="1" w:styleId="42">
    <w:name w:val="新正文"/>
    <w:basedOn w:val="1"/>
    <w:autoRedefine/>
    <w:qFormat/>
    <w:uiPriority w:val="0"/>
    <w:pPr>
      <w:widowControl/>
      <w:adjustRightInd w:val="0"/>
      <w:snapToGrid w:val="0"/>
      <w:spacing w:before="156" w:beforeLines="50" w:after="156" w:afterLines="50"/>
      <w:ind w:firstLine="440"/>
    </w:pPr>
    <w:rPr>
      <w:rFonts w:ascii="宋体" w:hAnsi="Calibri"/>
      <w:sz w:val="22"/>
      <w:szCs w:val="21"/>
    </w:rPr>
  </w:style>
  <w:style w:type="character" w:customStyle="1" w:styleId="43">
    <w:name w:val="正文缩进 字符"/>
    <w:link w:val="14"/>
    <w:autoRedefine/>
    <w:qFormat/>
    <w:locked/>
    <w:uiPriority w:val="99"/>
    <w:rPr>
      <w:rFonts w:ascii="仿宋_GB2312" w:hAnsi="Times New Roman" w:eastAsia="仿宋_GB2312"/>
      <w:sz w:val="28"/>
      <w:szCs w:val="21"/>
    </w:rPr>
  </w:style>
  <w:style w:type="paragraph" w:customStyle="1" w:styleId="44">
    <w:name w:val="表格(五号)"/>
    <w:basedOn w:val="1"/>
    <w:link w:val="45"/>
    <w:autoRedefine/>
    <w:qFormat/>
    <w:uiPriority w:val="0"/>
    <w:pPr>
      <w:snapToGrid w:val="0"/>
      <w:jc w:val="center"/>
    </w:pPr>
    <w:rPr>
      <w:rFonts w:ascii="Times New Roman" w:hAnsi="Times New Roman" w:eastAsia="宋体"/>
      <w:kern w:val="0"/>
      <w:sz w:val="21"/>
      <w:szCs w:val="20"/>
    </w:rPr>
  </w:style>
  <w:style w:type="character" w:customStyle="1" w:styleId="45">
    <w:name w:val="表格(五号) 字符"/>
    <w:link w:val="44"/>
    <w:autoRedefine/>
    <w:qFormat/>
    <w:uiPriority w:val="0"/>
    <w:rPr>
      <w:rFonts w:ascii="Times New Roman" w:hAnsi="Times New Roman" w:eastAsia="宋体"/>
      <w:kern w:val="0"/>
      <w:szCs w:val="20"/>
    </w:rPr>
  </w:style>
  <w:style w:type="paragraph" w:customStyle="1" w:styleId="46">
    <w:name w:val="@正文"/>
    <w:autoRedefine/>
    <w:qFormat/>
    <w:uiPriority w:val="0"/>
    <w:pPr>
      <w:spacing w:line="360" w:lineRule="auto"/>
      <w:ind w:firstLine="482" w:firstLineChars="200"/>
      <w:jc w:val="both"/>
    </w:pPr>
    <w:rPr>
      <w:rFonts w:ascii="Times New Roman" w:hAnsi="Times New Roman" w:eastAsia="宋体" w:cs="Times New Roman"/>
      <w:color w:val="0D0D0D"/>
      <w:kern w:val="2"/>
      <w:sz w:val="24"/>
      <w:lang w:val="en-US" w:eastAsia="zh-CN" w:bidi="ar-SA"/>
    </w:rPr>
  </w:style>
  <w:style w:type="paragraph" w:customStyle="1" w:styleId="47">
    <w:name w:val="列表段落1"/>
    <w:autoRedefine/>
    <w:qFormat/>
    <w:uiPriority w:val="0"/>
    <w:pPr>
      <w:widowControl w:val="0"/>
      <w:ind w:firstLine="420"/>
      <w:jc w:val="both"/>
    </w:pPr>
    <w:rPr>
      <w:rFonts w:ascii="等线" w:hAnsi="等线" w:eastAsia="宋体" w:cs="Times New Roman"/>
      <w:kern w:val="2"/>
      <w:sz w:val="21"/>
      <w:szCs w:val="22"/>
      <w:lang w:val="en-US" w:eastAsia="zh-CN" w:bidi="ar-SA"/>
    </w:rPr>
  </w:style>
  <w:style w:type="paragraph" w:styleId="48">
    <w:name w:val="List Paragraph"/>
    <w:basedOn w:val="1"/>
    <w:autoRedefine/>
    <w:unhideWhenUsed/>
    <w:qFormat/>
    <w:uiPriority w:val="99"/>
    <w:pPr>
      <w:ind w:firstLine="420"/>
    </w:pPr>
  </w:style>
  <w:style w:type="character" w:customStyle="1" w:styleId="49">
    <w:name w:val="题注 字符"/>
    <w:link w:val="15"/>
    <w:autoRedefine/>
    <w:qFormat/>
    <w:uiPriority w:val="0"/>
    <w:rPr>
      <w:rFonts w:ascii="Arial" w:hAnsi="Arial" w:eastAsia="黑体" w:cs="Arial"/>
      <w:kern w:val="2"/>
    </w:rPr>
  </w:style>
  <w:style w:type="paragraph" w:customStyle="1" w:styleId="50">
    <w:name w:val="标题 2（XXX）"/>
    <w:basedOn w:val="6"/>
    <w:next w:val="1"/>
    <w:autoRedefine/>
    <w:qFormat/>
    <w:uiPriority w:val="0"/>
    <w:pPr>
      <w:widowControl w:val="0"/>
      <w:numPr>
        <w:numId w:val="2"/>
      </w:numPr>
      <w:adjustRightInd/>
      <w:snapToGrid/>
      <w:spacing w:before="260" w:after="260" w:line="415" w:lineRule="auto"/>
      <w:jc w:val="left"/>
    </w:pPr>
    <w:rPr>
      <w:rFonts w:ascii="Arial" w:hAnsi="Arial" w:cs="Times New Roman"/>
      <w:b/>
      <w:bCs w:val="0"/>
    </w:rPr>
  </w:style>
  <w:style w:type="paragraph" w:customStyle="1" w:styleId="51">
    <w:name w:val="标题 3（XXX）"/>
    <w:basedOn w:val="7"/>
    <w:next w:val="1"/>
    <w:autoRedefine/>
    <w:qFormat/>
    <w:uiPriority w:val="0"/>
    <w:pPr>
      <w:widowControl w:val="0"/>
      <w:numPr>
        <w:ilvl w:val="0"/>
        <w:numId w:val="0"/>
      </w:numPr>
      <w:tabs>
        <w:tab w:val="left" w:pos="960"/>
      </w:tabs>
      <w:adjustRightInd/>
      <w:snapToGrid/>
      <w:spacing w:before="260" w:after="260" w:line="415" w:lineRule="auto"/>
      <w:ind w:left="907" w:hanging="907"/>
      <w:jc w:val="left"/>
    </w:pPr>
    <w:rPr>
      <w:rFonts w:ascii="Arial" w:hAnsi="Arial" w:cs="Times New Roman"/>
      <w:b/>
      <w:bCs w:val="0"/>
      <w:kern w:val="0"/>
      <w:szCs w:val="30"/>
    </w:rPr>
  </w:style>
  <w:style w:type="paragraph" w:customStyle="1" w:styleId="52">
    <w:name w:val="标题 4（XXX）"/>
    <w:basedOn w:val="8"/>
    <w:next w:val="1"/>
    <w:autoRedefine/>
    <w:qFormat/>
    <w:uiPriority w:val="0"/>
    <w:pPr>
      <w:numPr>
        <w:numId w:val="2"/>
      </w:numPr>
      <w:adjustRightInd/>
      <w:snapToGrid/>
      <w:spacing w:before="280" w:after="156" w:line="376" w:lineRule="auto"/>
      <w:jc w:val="left"/>
    </w:pPr>
    <w:rPr>
      <w:rFonts w:ascii="Arial" w:hAnsi="Arial" w:cs="Times New Roman"/>
      <w:b/>
      <w:bCs w:val="0"/>
      <w:kern w:val="0"/>
    </w:rPr>
  </w:style>
  <w:style w:type="paragraph" w:customStyle="1" w:styleId="53">
    <w:name w:val="标题 5（有编号）（XXX）"/>
    <w:basedOn w:val="1"/>
    <w:next w:val="1"/>
    <w:autoRedefine/>
    <w:qFormat/>
    <w:uiPriority w:val="0"/>
    <w:pPr>
      <w:keepNext/>
      <w:keepLines/>
      <w:numPr>
        <w:ilvl w:val="4"/>
        <w:numId w:val="2"/>
      </w:numPr>
      <w:spacing w:before="280" w:after="156" w:line="377" w:lineRule="auto"/>
      <w:jc w:val="left"/>
      <w:outlineLvl w:val="4"/>
    </w:pPr>
    <w:rPr>
      <w:rFonts w:ascii="Arial" w:hAnsi="Arial" w:eastAsia="黑体" w:cs="Times New Roman"/>
      <w:b/>
      <w:kern w:val="0"/>
      <w:sz w:val="24"/>
      <w:szCs w:val="28"/>
    </w:rPr>
  </w:style>
  <w:style w:type="paragraph" w:customStyle="1" w:styleId="54">
    <w:name w:val="标题 6（有编号）（XXX）"/>
    <w:basedOn w:val="1"/>
    <w:next w:val="1"/>
    <w:autoRedefine/>
    <w:qFormat/>
    <w:uiPriority w:val="0"/>
    <w:pPr>
      <w:keepNext/>
      <w:keepLines/>
      <w:numPr>
        <w:ilvl w:val="5"/>
        <w:numId w:val="2"/>
      </w:numPr>
      <w:spacing w:before="240" w:after="64" w:line="319" w:lineRule="auto"/>
      <w:jc w:val="left"/>
      <w:outlineLvl w:val="5"/>
    </w:pPr>
    <w:rPr>
      <w:rFonts w:ascii="Arial" w:hAnsi="Arial" w:eastAsia="黑体" w:cs="Times New Roman"/>
      <w:b/>
      <w:kern w:val="0"/>
      <w:sz w:val="21"/>
      <w:szCs w:val="24"/>
    </w:rPr>
  </w:style>
  <w:style w:type="table" w:customStyle="1" w:styleId="55">
    <w:name w:val="网格表 5 深色 - 着色 51"/>
    <w:basedOn w:val="25"/>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5"/>
      </w:tcPr>
    </w:tblStylePr>
    <w:tblStylePr w:type="band1Vert">
      <w:tcPr>
        <w:shd w:val="clear" w:color="auto" w:fill="BDD6EE" w:themeFill="accent5" w:themeFillTint="66"/>
      </w:tcPr>
    </w:tblStylePr>
    <w:tblStylePr w:type="band1Horz">
      <w:tcPr>
        <w:shd w:val="clear" w:color="auto" w:fill="BDD6EE" w:themeFill="accent5" w:themeFillTint="66"/>
      </w:tcPr>
    </w:tblStylePr>
  </w:style>
  <w:style w:type="character" w:customStyle="1" w:styleId="56">
    <w:name w:val="批注文字 字符"/>
    <w:basedOn w:val="27"/>
    <w:link w:val="16"/>
    <w:autoRedefine/>
    <w:semiHidden/>
    <w:qFormat/>
    <w:uiPriority w:val="0"/>
    <w:rPr>
      <w:rFonts w:ascii="Times New Roman" w:hAnsi="Times New Roman" w:eastAsia="宋体" w:cs="Times New Roman"/>
      <w:sz w:val="21"/>
      <w:szCs w:val="21"/>
    </w:rPr>
  </w:style>
  <w:style w:type="character" w:customStyle="1" w:styleId="57">
    <w:name w:val="批注主题 字符"/>
    <w:basedOn w:val="56"/>
    <w:link w:val="24"/>
    <w:autoRedefine/>
    <w:semiHidden/>
    <w:qFormat/>
    <w:uiPriority w:val="99"/>
    <w:rPr>
      <w:rFonts w:ascii="Times New Roman" w:hAnsi="Times New Roman" w:eastAsia="仿宋" w:cs="Times New Roman"/>
      <w:b/>
      <w:bCs/>
      <w:kern w:val="2"/>
      <w:sz w:val="32"/>
      <w:szCs w:val="22"/>
    </w:rPr>
  </w:style>
  <w:style w:type="paragraph" w:customStyle="1" w:styleId="58">
    <w:name w:val="标题 3（1017）"/>
    <w:basedOn w:val="7"/>
    <w:next w:val="59"/>
    <w:qFormat/>
    <w:uiPriority w:val="0"/>
    <w:pPr>
      <w:widowControl w:val="0"/>
      <w:numPr>
        <w:numId w:val="2"/>
      </w:numPr>
      <w:tabs>
        <w:tab w:val="left" w:pos="960"/>
      </w:tabs>
      <w:spacing w:line="415" w:lineRule="auto"/>
    </w:pPr>
    <w:rPr>
      <w:bCs w:val="0"/>
      <w:szCs w:val="30"/>
    </w:rPr>
  </w:style>
  <w:style w:type="paragraph" w:customStyle="1" w:styleId="59">
    <w:name w:val="正文（1017）"/>
    <w:autoRedefine/>
    <w:qFormat/>
    <w:uiPriority w:val="0"/>
    <w:pPr>
      <w:spacing w:line="300" w:lineRule="auto"/>
    </w:pPr>
    <w:rPr>
      <w:rFonts w:ascii="Arial" w:hAnsi="Arial" w:eastAsia="宋体" w:cs="Times New Roman"/>
      <w:sz w:val="21"/>
      <w:szCs w:val="21"/>
      <w:lang w:val="en-US" w:eastAsia="zh-CN" w:bidi="ar-SA"/>
    </w:rPr>
  </w:style>
  <w:style w:type="character" w:customStyle="1" w:styleId="60">
    <w:name w:val="font61"/>
    <w:basedOn w:val="27"/>
    <w:qFormat/>
    <w:uiPriority w:val="0"/>
    <w:rPr>
      <w:rFonts w:ascii="仿宋" w:hAnsi="仿宋" w:eastAsia="仿宋" w:cs="仿宋"/>
      <w:b/>
      <w:bCs/>
      <w:color w:val="000000"/>
      <w:sz w:val="22"/>
      <w:szCs w:val="22"/>
      <w:u w:val="none"/>
    </w:rPr>
  </w:style>
  <w:style w:type="character" w:customStyle="1" w:styleId="61">
    <w:name w:val="font81"/>
    <w:basedOn w:val="27"/>
    <w:qFormat/>
    <w:uiPriority w:val="0"/>
    <w:rPr>
      <w:rFonts w:hint="default" w:ascii="serif" w:eastAsia="serif" w:cs="serif"/>
      <w:b/>
      <w:bCs/>
      <w:color w:val="000000"/>
      <w:sz w:val="22"/>
      <w:szCs w:val="22"/>
      <w:u w:val="none"/>
    </w:rPr>
  </w:style>
  <w:style w:type="character" w:customStyle="1" w:styleId="62">
    <w:name w:val="font71"/>
    <w:basedOn w:val="27"/>
    <w:qFormat/>
    <w:uiPriority w:val="0"/>
    <w:rPr>
      <w:rFonts w:hint="eastAsia" w:ascii="仿宋" w:hAnsi="仿宋" w:eastAsia="仿宋" w:cs="仿宋"/>
      <w:color w:val="000000"/>
      <w:sz w:val="22"/>
      <w:szCs w:val="22"/>
      <w:u w:val="none"/>
    </w:rPr>
  </w:style>
  <w:style w:type="character" w:customStyle="1" w:styleId="63">
    <w:name w:val="font91"/>
    <w:basedOn w:val="27"/>
    <w:qFormat/>
    <w:uiPriority w:val="0"/>
    <w:rPr>
      <w:rFonts w:hint="default" w:ascii="serif" w:eastAsia="serif" w:cs="serif"/>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D99E4-08E9-427F-9BC2-11187C4697FC}">
  <ds:schemaRefs/>
</ds:datastoreItem>
</file>

<file path=docProps/app.xml><?xml version="1.0" encoding="utf-8"?>
<Properties xmlns="http://schemas.openxmlformats.org/officeDocument/2006/extended-properties" xmlns:vt="http://schemas.openxmlformats.org/officeDocument/2006/docPropsVTypes">
  <Template>Normal.dotm</Template>
  <Pages>39</Pages>
  <Words>13466</Words>
  <Characters>14916</Characters>
  <Lines>220</Lines>
  <Paragraphs>61</Paragraphs>
  <TotalTime>12</TotalTime>
  <ScaleCrop>false</ScaleCrop>
  <LinksUpToDate>false</LinksUpToDate>
  <CharactersWithSpaces>15053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2023-09-25T09:06:00Z</dcterms:created>
  <dc:creator>国科创新</dc:creator>
  <cp:lastModifiedBy>1</cp:lastModifiedBy>
  <dcterms:modified xsi:type="dcterms:W3CDTF">2024-10-10T09:40:18Z</dcterms:modified>
  <cp:revision>570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1A2B4FC14A5A4E6BB6D808452E302F09_13</vt:lpwstr>
  </property>
</Properties>
</file>